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30FD" w14:textId="63FDB9BA" w:rsidR="007F16EA" w:rsidRDefault="007F16EA" w:rsidP="00955AE5">
      <w:pPr>
        <w:jc w:val="center"/>
      </w:pPr>
    </w:p>
    <w:p w14:paraId="3ED140B6" w14:textId="77777777" w:rsidR="007F16EA" w:rsidRDefault="007F16EA"/>
    <w:p w14:paraId="7CAC680C" w14:textId="77777777" w:rsidR="007F16EA" w:rsidRDefault="007F16EA"/>
    <w:p w14:paraId="7D207DB5" w14:textId="77777777" w:rsidR="007F16EA" w:rsidRDefault="007F16EA"/>
    <w:p w14:paraId="62837194" w14:textId="77777777" w:rsidR="007F16EA" w:rsidRDefault="007F16EA"/>
    <w:p w14:paraId="67A91919" w14:textId="07966F6D" w:rsidR="007F16EA" w:rsidRDefault="007F16EA" w:rsidP="00955AE5">
      <w:pPr>
        <w:jc w:val="center"/>
      </w:pPr>
    </w:p>
    <w:p w14:paraId="5D34C838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color w:val="1F4E79"/>
          <w:sz w:val="56"/>
          <w:lang w:val="pt-BR"/>
        </w:rPr>
        <w:t>Motor de Ativação de</w:t>
      </w:r>
      <w:r w:rsidRPr="005E79C3">
        <w:rPr>
          <w:b/>
          <w:color w:val="1F4E79"/>
          <w:sz w:val="56"/>
          <w:lang w:val="pt-BR"/>
        </w:rPr>
        <w:br/>
        <w:t>Clientes Inativos — CEVAP</w:t>
      </w:r>
    </w:p>
    <w:p w14:paraId="4CF1FB03" w14:textId="77777777" w:rsidR="007F16EA" w:rsidRPr="005E79C3" w:rsidRDefault="007F16EA">
      <w:pPr>
        <w:rPr>
          <w:lang w:val="pt-BR"/>
        </w:rPr>
      </w:pPr>
    </w:p>
    <w:p w14:paraId="7A3786CA" w14:textId="09BB8A04" w:rsidR="007F16EA" w:rsidRPr="005E79C3" w:rsidRDefault="00000000">
      <w:pPr>
        <w:jc w:val="center"/>
        <w:rPr>
          <w:lang w:val="pt-BR"/>
        </w:rPr>
      </w:pPr>
      <w:r w:rsidRPr="005E79C3">
        <w:rPr>
          <w:color w:val="595959"/>
          <w:sz w:val="28"/>
          <w:lang w:val="pt-BR"/>
        </w:rPr>
        <w:t>Inova Máquinas | Peças</w:t>
      </w:r>
    </w:p>
    <w:p w14:paraId="3F3AF862" w14:textId="77777777" w:rsidR="007F16EA" w:rsidRPr="005E79C3" w:rsidRDefault="007F16EA">
      <w:pPr>
        <w:rPr>
          <w:lang w:val="pt-BR"/>
        </w:rPr>
      </w:pPr>
    </w:p>
    <w:p w14:paraId="54578AF6" w14:textId="77777777" w:rsidR="007F16EA" w:rsidRPr="005E79C3" w:rsidRDefault="007F16EA">
      <w:pPr>
        <w:rPr>
          <w:lang w:val="pt-BR"/>
        </w:rPr>
      </w:pPr>
    </w:p>
    <w:p w14:paraId="3D7AE485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Data: </w:t>
      </w:r>
      <w:r w:rsidRPr="005E79C3">
        <w:rPr>
          <w:sz w:val="24"/>
          <w:lang w:val="pt-BR"/>
        </w:rPr>
        <w:t>02/06/2026</w:t>
      </w:r>
    </w:p>
    <w:p w14:paraId="2E9DA466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Versão: </w:t>
      </w:r>
      <w:r w:rsidRPr="005E79C3">
        <w:rPr>
          <w:sz w:val="24"/>
          <w:lang w:val="pt-BR"/>
        </w:rPr>
        <w:t>1.0</w:t>
      </w:r>
    </w:p>
    <w:p w14:paraId="70B8ADF9" w14:textId="2907DF01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Gerente: </w:t>
      </w:r>
      <w:r w:rsidRPr="005E79C3">
        <w:rPr>
          <w:sz w:val="24"/>
          <w:lang w:val="pt-BR"/>
        </w:rPr>
        <w:t>Roberto Reis</w:t>
      </w:r>
    </w:p>
    <w:p w14:paraId="77F73040" w14:textId="1EC152C1" w:rsidR="007F16EA" w:rsidRDefault="00000000">
      <w:pPr>
        <w:jc w:val="center"/>
        <w:rPr>
          <w:sz w:val="24"/>
          <w:lang w:val="pt-BR"/>
        </w:rPr>
      </w:pPr>
      <w:r w:rsidRPr="005E79C3">
        <w:rPr>
          <w:b/>
          <w:sz w:val="24"/>
          <w:lang w:val="pt-BR"/>
        </w:rPr>
        <w:t xml:space="preserve">Elaborado por: </w:t>
      </w:r>
      <w:r w:rsidRPr="005E79C3">
        <w:rPr>
          <w:sz w:val="24"/>
          <w:lang w:val="pt-BR"/>
        </w:rPr>
        <w:t>Victor Bernardi</w:t>
      </w:r>
    </w:p>
    <w:p w14:paraId="424174F2" w14:textId="7594A265" w:rsidR="00955AE5" w:rsidRDefault="00955AE5">
      <w:pPr>
        <w:jc w:val="center"/>
        <w:rPr>
          <w:sz w:val="24"/>
          <w:lang w:val="pt-BR"/>
        </w:rPr>
      </w:pPr>
    </w:p>
    <w:p w14:paraId="6102FEC2" w14:textId="45A7F366" w:rsidR="007F16EA" w:rsidRPr="005E79C3" w:rsidRDefault="000C2CA6" w:rsidP="00955AE5">
      <w:pPr>
        <w:jc w:val="center"/>
        <w:rPr>
          <w:lang w:val="pt-BR"/>
        </w:rPr>
      </w:pPr>
      <w:r>
        <w:rPr>
          <w:noProof/>
          <w:sz w:val="24"/>
          <w:lang w:val="pt-BR"/>
        </w:rPr>
        <w:drawing>
          <wp:inline distT="0" distB="0" distL="0" distR="0" wp14:anchorId="39CA4A73" wp14:editId="7743E61A">
            <wp:extent cx="513715" cy="352872"/>
            <wp:effectExtent l="0" t="0" r="635" b="9525"/>
            <wp:docPr id="17805453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37" cy="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  </w:t>
      </w:r>
      <w:r w:rsidR="00955AE5">
        <w:rPr>
          <w:noProof/>
          <w:sz w:val="24"/>
          <w:lang w:val="pt-BR"/>
        </w:rPr>
        <w:drawing>
          <wp:inline distT="0" distB="0" distL="0" distR="0" wp14:anchorId="2B2F74AB" wp14:editId="5C0E86CE">
            <wp:extent cx="999866" cy="352425"/>
            <wp:effectExtent l="0" t="0" r="0" b="0"/>
            <wp:docPr id="3351443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598" cy="3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E79C3">
        <w:rPr>
          <w:lang w:val="pt-BR"/>
        </w:rPr>
        <w:br w:type="page"/>
      </w:r>
    </w:p>
    <w:p w14:paraId="4AF44DE4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lastRenderedPageBreak/>
        <w:t>1. Resumo Executivo</w:t>
      </w:r>
    </w:p>
    <w:p w14:paraId="195CEF82" w14:textId="2E02E11D" w:rsidR="007F16EA" w:rsidRPr="005E79C3" w:rsidRDefault="00000000">
      <w:pPr>
        <w:rPr>
          <w:lang w:val="pt-BR"/>
        </w:rPr>
      </w:pPr>
      <w:r w:rsidRPr="005E79C3">
        <w:rPr>
          <w:lang w:val="pt-BR"/>
        </w:rPr>
        <w:t>O Motor CEVAP transforma clientes sem compra há mais de 90 dias em oportunidades consultivas estruturadas, entregando semanalmente ao time comercial uma planilha priorizada com todos os dados necessários para o contato: identidade e status de fidelidade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>/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). Cada cliente da fila recebe colunas de controle onde os consultores registram tentativas de contato e resultados, gerando rastreabilidade total do follow-up. O sucesso é medido pela taxa de conversão — clientes que voltaram a comprar após o acionamento.</w:t>
      </w:r>
    </w:p>
    <w:p w14:paraId="1D5D133D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 xml:space="preserve">2. </w:t>
      </w:r>
      <w:r w:rsidRPr="005A39CC">
        <w:rPr>
          <w:rFonts w:ascii="Calibri" w:hAnsi="Calibri"/>
          <w:color w:val="1F4E79"/>
          <w:u w:val="single"/>
          <w:lang w:val="pt-BR"/>
        </w:rPr>
        <w:t>Objetivos</w:t>
      </w:r>
      <w:r w:rsidRPr="005E79C3">
        <w:rPr>
          <w:rFonts w:ascii="Calibri" w:hAnsi="Calibri"/>
          <w:color w:val="1F4E79"/>
          <w:lang w:val="pt-BR"/>
        </w:rPr>
        <w:t xml:space="preserve"> de Negócio</w:t>
      </w:r>
    </w:p>
    <w:p w14:paraId="16B7C9CE" w14:textId="77777777" w:rsidR="007F16EA" w:rsidRDefault="00000000">
      <w:r w:rsidRPr="005E79C3">
        <w:rPr>
          <w:lang w:val="pt-BR"/>
        </w:rPr>
        <w:t xml:space="preserve">O CEVAP existe para dar previsibilidade e rastreabilidade ao trabalho de reativação de clientes inativos. O indicador primário é a taxa de conversão (clientes acionados que voltaram a comprar), mensurada semanalmente.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23C5919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Visibilidade: Garantir que todo cliente inativo seja identificado automaticamente, sem depender da memória ou percepção individual do consultor.</w:t>
      </w:r>
    </w:p>
    <w:p w14:paraId="6D70339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Priorização: Ordenar a fila de acionamento por potencial de receita, direcionando o esforço comercial para onde há maior retorno esperado.</w:t>
      </w:r>
    </w:p>
    <w:p w14:paraId="0476FB0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Rastreabilidade: Registrar data e resultado de cada tentativa de contato, permitindo auditar o trabalho realizado e medir a efetividade da abordagem.</w:t>
      </w:r>
    </w:p>
    <w:p w14:paraId="6387E0D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Integridade: Preservar o histórico de contatos já realizados a cada nova publicação, sem sobrescrever o trabalho preenchido pelos consultores.</w:t>
      </w:r>
    </w:p>
    <w:p w14:paraId="6EC8F6D6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3. Problema a Resolver</w:t>
      </w:r>
    </w:p>
    <w:p w14:paraId="2EB25712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3.1 Situação Atual</w:t>
      </w:r>
    </w:p>
    <w:p w14:paraId="0AC3139A" w14:textId="32E87807" w:rsidR="007F16EA" w:rsidRDefault="00000000">
      <w:r w:rsidRPr="005E79C3">
        <w:rPr>
          <w:lang w:val="pt-BR"/>
        </w:rPr>
        <w:t xml:space="preserve">Hoje, os consultores de </w:t>
      </w:r>
      <w:r w:rsidR="005A39CC">
        <w:rPr>
          <w:lang w:val="pt-BR"/>
        </w:rPr>
        <w:t>peças</w:t>
      </w:r>
      <w:r w:rsidRPr="005E79C3">
        <w:rPr>
          <w:lang w:val="pt-BR"/>
        </w:rPr>
        <w:t xml:space="preserve"> não possuem uma lista sistemática de quais clientes deixaram de comprar. O contato acontece de forma reativa — quando o cliente aparece no balcão ou quando o consultor se lembra de ligar.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saber:</w:t>
      </w:r>
    </w:p>
    <w:p w14:paraId="78D3A80D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Quais grupos econômicos estão esfriando (nenhuma filial comprando há mais de 90 dias).</w:t>
      </w:r>
    </w:p>
    <w:p w14:paraId="6AE2E1E6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Qual o potencial de receita que está em risco com cada cliente inativo.</w:t>
      </w:r>
    </w:p>
    <w:p w14:paraId="1D01130B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Se o consultor realmente entrou em contato e qual foi o resultado.</w:t>
      </w:r>
    </w:p>
    <w:p w14:paraId="4D44426B" w14:textId="77777777" w:rsidR="007F16EA" w:rsidRDefault="00000000">
      <w:pPr>
        <w:pStyle w:val="Ttulo2"/>
      </w:pPr>
      <w:r>
        <w:rPr>
          <w:rFonts w:ascii="Calibri" w:hAnsi="Calibri"/>
          <w:color w:val="2E74B5"/>
        </w:rPr>
        <w:t xml:space="preserve">3.2 Impacto no </w:t>
      </w:r>
      <w:proofErr w:type="spellStart"/>
      <w:r>
        <w:rPr>
          <w:rFonts w:ascii="Calibri" w:hAnsi="Calibri"/>
          <w:color w:val="2E74B5"/>
        </w:rPr>
        <w:t>Negócio</w:t>
      </w:r>
      <w:proofErr w:type="spellEnd"/>
    </w:p>
    <w:p w14:paraId="4EB4F04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Perda silenciosa de receita: Clientes migram para concorrentes sem que a Inova perceba a tempo de reagir.</w:t>
      </w:r>
    </w:p>
    <w:p w14:paraId="0E72420A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Esforço comercial disperso: Sem priorização por potencial, consultores gastam tempo em clientes de baixo retorno enquanto clientes A1 (acima de R$ 1 milhão/ano) ficam sem abordagem.</w:t>
      </w:r>
    </w:p>
    <w:p w14:paraId="505C2B3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Impossibilidade de auditar: A gestão não consegue medir se o trabalho está sendo feito nem qual a taxa de sucesso das abordagens.</w:t>
      </w:r>
    </w:p>
    <w:p w14:paraId="7AF38013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lastRenderedPageBreak/>
        <w:t>4. Solução Proposta</w:t>
      </w:r>
    </w:p>
    <w:p w14:paraId="6A854C97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4.1 Como Funciona para o Negócio</w:t>
      </w:r>
    </w:p>
    <w:p w14:paraId="16D82815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1. Pipeline diário de dados: </w:t>
      </w:r>
      <w:r w:rsidRPr="005E79C3">
        <w:rPr>
          <w:lang w:val="pt-BR"/>
        </w:rPr>
        <w:t>O motor consome diariamente dados de faturamento, identidade de clientes, potencial de compra, equipamentos, programa de fidelidade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>) e crédito (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). Cruza essas informações e aplica a regra de inatividade.</w:t>
      </w:r>
    </w:p>
    <w:p w14:paraId="7D865E54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2. Publicação semanal da planilha: </w:t>
      </w:r>
      <w:r w:rsidRPr="005E79C3">
        <w:rPr>
          <w:lang w:val="pt-BR"/>
        </w:rPr>
        <w:t>Toda semana, a planilha CEVAP é atualizada no OneDrive com a fila completa de clientes inativos, ordenada por classificação (A1 a C1).</w:t>
      </w:r>
    </w:p>
    <w:p w14:paraId="26DDBF44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3. Consultores registram o contato: </w:t>
      </w:r>
      <w:r w:rsidRPr="005E79C3">
        <w:rPr>
          <w:lang w:val="pt-BR"/>
        </w:rPr>
        <w:t xml:space="preserve">As colunas Data_Tentativa_1, Status_Contato_1, Data_Tentativa_2, Status_Contato_2 e </w:t>
      </w:r>
      <w:proofErr w:type="spellStart"/>
      <w:r w:rsidRPr="005E79C3">
        <w:rPr>
          <w:lang w:val="pt-BR"/>
        </w:rPr>
        <w:t>Observacao</w:t>
      </w:r>
      <w:proofErr w:type="spellEnd"/>
      <w:r w:rsidRPr="005E79C3">
        <w:rPr>
          <w:lang w:val="pt-BR"/>
        </w:rPr>
        <w:t xml:space="preserve"> são preenchidas pelos consultores Filipe Paiva e Katia Almeida.</w:t>
      </w:r>
    </w:p>
    <w:p w14:paraId="23FF6C32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4. Preservação do histórico: </w:t>
      </w:r>
      <w:r w:rsidRPr="005E79C3">
        <w:rPr>
          <w:lang w:val="pt-BR"/>
        </w:rPr>
        <w:t>A cada nova publicação, o motor lê a planilha anterior do OneDrive e preserva as colunas de controle já preenchidas — nenhum dado de contato é perdido.</w:t>
      </w:r>
    </w:p>
    <w:p w14:paraId="18E68180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5. Aferição semanal: </w:t>
      </w:r>
      <w:r w:rsidRPr="005E79C3">
        <w:rPr>
          <w:lang w:val="pt-BR"/>
        </w:rPr>
        <w:t>A taxa de conversão é mensurada comparando os clientes acionados com os que voltaram a comprar (via dados de faturamento mais recentes).</w:t>
      </w:r>
    </w:p>
    <w:p w14:paraId="5E02BBFA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4.2 Quando um Cliente é CEVAP</w:t>
      </w:r>
    </w:p>
    <w:p w14:paraId="29F253AB" w14:textId="77777777" w:rsidR="007F16EA" w:rsidRDefault="00000000">
      <w:r w:rsidRPr="005E79C3">
        <w:rPr>
          <w:lang w:val="pt-BR"/>
        </w:rPr>
        <w:t xml:space="preserve">Um cliente entra na fila CEVAP quando seu grupo econômico está há 90 dias ou mais sem nenhuma compra em nenhuma filial. </w:t>
      </w:r>
      <w:r>
        <w:t xml:space="preserve">Ou </w:t>
      </w:r>
      <w:proofErr w:type="spellStart"/>
      <w:r>
        <w:t>seja</w:t>
      </w:r>
      <w:proofErr w:type="spellEnd"/>
      <w:r>
        <w:t>:</w:t>
      </w:r>
    </w:p>
    <w:p w14:paraId="5080858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Entra no CEVAP: Grupo econômico sem compra ≥ 90 dias em todas as filiais.</w:t>
      </w:r>
    </w:p>
    <w:p w14:paraId="6D8FBE5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Sai do CEVAP: Qualquer filial do grupo volta a comprar → o grupo inteiro sai da fila automaticamente na próxima publicação.</w:t>
      </w:r>
    </w:p>
    <w:p w14:paraId="3E87280A" w14:textId="1C693DEF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Exclusão automática: Clientes com orçamento</w:t>
      </w:r>
      <w:r w:rsidR="005A39CC">
        <w:rPr>
          <w:lang w:val="pt-BR"/>
        </w:rPr>
        <w:t xml:space="preserve"> em</w:t>
      </w:r>
      <w:r w:rsidRPr="005E79C3">
        <w:rPr>
          <w:lang w:val="pt-BR"/>
        </w:rPr>
        <w:t xml:space="preserve"> aberto são removidos da fila, pois indica que já existe negociação em andamento.</w:t>
      </w:r>
    </w:p>
    <w:p w14:paraId="6217E644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4.3 Critérios de Segmentação</w:t>
      </w:r>
    </w:p>
    <w:p w14:paraId="49E9A85A" w14:textId="3F591DAB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Os clientes são classificados de A1 a C1 pelo Motor de Segmentação (motor que consolida faturamento, potencial e 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 para ranquear cada grupo econômico). O CEVAP apenas consome essa classificação pronta</w:t>
      </w:r>
      <w:r w:rsidR="005A39CC">
        <w:rPr>
          <w:lang w:val="pt-BR"/>
        </w:rPr>
        <w:t>,</w:t>
      </w:r>
      <w:r w:rsidRPr="005E79C3">
        <w:rPr>
          <w:lang w:val="pt-BR"/>
        </w:rPr>
        <w:t xml:space="preserve"> não recalcula. A ordem da planilha é crescente por classificação (A1 primeiro), orientando os consultores a priorizar os clientes de maior potencial.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5365"/>
      </w:tblGrid>
      <w:tr w:rsidR="007F16EA" w14:paraId="3D60E919" w14:textId="77777777" w:rsidTr="005A39CC">
        <w:trPr>
          <w:jc w:val="center"/>
        </w:trPr>
        <w:tc>
          <w:tcPr>
            <w:tcW w:w="1264" w:type="dxa"/>
            <w:shd w:val="clear" w:color="auto" w:fill="1F4E79"/>
          </w:tcPr>
          <w:p w14:paraId="23EC62E2" w14:textId="77777777" w:rsidR="007F16EA" w:rsidRDefault="00000000" w:rsidP="005A39C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Classificação</w:t>
            </w:r>
            <w:proofErr w:type="spellEnd"/>
          </w:p>
        </w:tc>
        <w:tc>
          <w:tcPr>
            <w:tcW w:w="5365" w:type="dxa"/>
            <w:shd w:val="clear" w:color="auto" w:fill="1F4E79"/>
          </w:tcPr>
          <w:p w14:paraId="3E9A37F1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7F16EA" w:rsidRPr="005E79C3" w14:paraId="25E53E6A" w14:textId="77777777" w:rsidTr="00F91CD2">
        <w:trPr>
          <w:jc w:val="center"/>
        </w:trPr>
        <w:tc>
          <w:tcPr>
            <w:tcW w:w="1264" w:type="dxa"/>
            <w:vAlign w:val="center"/>
          </w:tcPr>
          <w:p w14:paraId="49DB4809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A1</w:t>
            </w:r>
          </w:p>
        </w:tc>
        <w:tc>
          <w:tcPr>
            <w:tcW w:w="5365" w:type="dxa"/>
            <w:vAlign w:val="center"/>
          </w:tcPr>
          <w:p w14:paraId="7C6766F2" w14:textId="77777777" w:rsidR="007F16EA" w:rsidRPr="005E79C3" w:rsidRDefault="00000000" w:rsidP="00F91CD2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Grupo de altíssimo potencial — prioridade máxima de contato</w:t>
            </w:r>
          </w:p>
        </w:tc>
      </w:tr>
      <w:tr w:rsidR="007F16EA" w14:paraId="6F22E0DB" w14:textId="77777777" w:rsidTr="00F91CD2">
        <w:trPr>
          <w:jc w:val="center"/>
        </w:trPr>
        <w:tc>
          <w:tcPr>
            <w:tcW w:w="1264" w:type="dxa"/>
            <w:vAlign w:val="center"/>
          </w:tcPr>
          <w:p w14:paraId="66981C95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A2</w:t>
            </w:r>
          </w:p>
        </w:tc>
        <w:tc>
          <w:tcPr>
            <w:tcW w:w="5365" w:type="dxa"/>
            <w:vAlign w:val="center"/>
          </w:tcPr>
          <w:p w14:paraId="748D632E" w14:textId="77777777" w:rsidR="007F16EA" w:rsidRDefault="00000000" w:rsidP="00F91CD2">
            <w:r>
              <w:rPr>
                <w:sz w:val="20"/>
              </w:rPr>
              <w:t>Grupo de alto potencial</w:t>
            </w:r>
          </w:p>
        </w:tc>
      </w:tr>
      <w:tr w:rsidR="007F16EA" w:rsidRPr="005E79C3" w14:paraId="3F7E4E51" w14:textId="77777777" w:rsidTr="00F91CD2">
        <w:trPr>
          <w:jc w:val="center"/>
        </w:trPr>
        <w:tc>
          <w:tcPr>
            <w:tcW w:w="1264" w:type="dxa"/>
            <w:vAlign w:val="center"/>
          </w:tcPr>
          <w:p w14:paraId="28192939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B1</w:t>
            </w:r>
          </w:p>
        </w:tc>
        <w:tc>
          <w:tcPr>
            <w:tcW w:w="5365" w:type="dxa"/>
            <w:vAlign w:val="center"/>
          </w:tcPr>
          <w:p w14:paraId="684F2654" w14:textId="77777777" w:rsidR="007F16EA" w:rsidRPr="005E79C3" w:rsidRDefault="00000000" w:rsidP="00F91CD2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Grupo de potencial médio-alto</w:t>
            </w:r>
          </w:p>
        </w:tc>
      </w:tr>
      <w:tr w:rsidR="007F16EA" w14:paraId="1BDB46B8" w14:textId="77777777" w:rsidTr="00F91CD2">
        <w:trPr>
          <w:jc w:val="center"/>
        </w:trPr>
        <w:tc>
          <w:tcPr>
            <w:tcW w:w="1264" w:type="dxa"/>
            <w:vAlign w:val="center"/>
          </w:tcPr>
          <w:p w14:paraId="6B8F3F2F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B2</w:t>
            </w:r>
          </w:p>
        </w:tc>
        <w:tc>
          <w:tcPr>
            <w:tcW w:w="5365" w:type="dxa"/>
            <w:vAlign w:val="center"/>
          </w:tcPr>
          <w:p w14:paraId="7177CC08" w14:textId="77777777" w:rsidR="007F16EA" w:rsidRDefault="00000000" w:rsidP="00F91CD2">
            <w:r>
              <w:rPr>
                <w:sz w:val="20"/>
              </w:rPr>
              <w:t>Grupo de potencial médio</w:t>
            </w:r>
          </w:p>
        </w:tc>
      </w:tr>
      <w:tr w:rsidR="007F16EA" w14:paraId="383AFA54" w14:textId="77777777" w:rsidTr="00F91CD2">
        <w:trPr>
          <w:trHeight w:val="70"/>
          <w:jc w:val="center"/>
        </w:trPr>
        <w:tc>
          <w:tcPr>
            <w:tcW w:w="1264" w:type="dxa"/>
            <w:vAlign w:val="center"/>
          </w:tcPr>
          <w:p w14:paraId="4634C567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C1</w:t>
            </w:r>
          </w:p>
        </w:tc>
        <w:tc>
          <w:tcPr>
            <w:tcW w:w="5365" w:type="dxa"/>
            <w:vAlign w:val="center"/>
          </w:tcPr>
          <w:p w14:paraId="7185E1F9" w14:textId="77777777" w:rsidR="007F16EA" w:rsidRDefault="00000000" w:rsidP="00F91CD2">
            <w:r>
              <w:rPr>
                <w:sz w:val="20"/>
              </w:rPr>
              <w:t>Grupo de potencial básico</w:t>
            </w:r>
          </w:p>
        </w:tc>
      </w:tr>
    </w:tbl>
    <w:p w14:paraId="706B33A4" w14:textId="69925EBE" w:rsidR="007F16EA" w:rsidRPr="005E79C3" w:rsidRDefault="00000000">
      <w:pPr>
        <w:rPr>
          <w:lang w:val="pt-BR"/>
        </w:rPr>
      </w:pPr>
      <w:r w:rsidRPr="005E79C3">
        <w:rPr>
          <w:i/>
          <w:lang w:val="pt-BR"/>
        </w:rPr>
        <w:t>Importante: Todos os clientes inativos entram na planilha, independentemente da classificação. A priorização é uma orientação de trabalho</w:t>
      </w:r>
      <w:r w:rsidR="005A39CC">
        <w:rPr>
          <w:i/>
          <w:lang w:val="pt-BR"/>
        </w:rPr>
        <w:t>,</w:t>
      </w:r>
      <w:r w:rsidRPr="005E79C3">
        <w:rPr>
          <w:i/>
          <w:lang w:val="pt-BR"/>
        </w:rPr>
        <w:t xml:space="preserve"> não há bloqueio ou filtro que impeça o consultor de contatar qualquer cliente da fila.</w:t>
      </w:r>
    </w:p>
    <w:p w14:paraId="5BA91D7A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lastRenderedPageBreak/>
        <w:t>4.4 De Onde Vêm os Dados (Linhagem Completa)</w:t>
      </w:r>
    </w:p>
    <w:p w14:paraId="01DCB7C0" w14:textId="77777777" w:rsidR="007F16EA" w:rsidRPr="005E79C3" w:rsidRDefault="00000000">
      <w:pPr>
        <w:rPr>
          <w:lang w:val="pt-BR"/>
        </w:rPr>
      </w:pPr>
      <w:r w:rsidRPr="005E79C3">
        <w:rPr>
          <w:lang w:val="pt-BR"/>
        </w:rPr>
        <w:t>Cada informação da planilha CEVAP é fruto de uma cadeia de processamento que começa nos sistemas de origem da Inova. Nenhum dado é digitado manualmente.</w:t>
      </w:r>
    </w:p>
    <w:p w14:paraId="0B81FFD8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Identidade do Cliente (Nome, CNPJ, E-mail, Cidade, Mesorregião)</w:t>
      </w:r>
    </w:p>
    <w:p w14:paraId="1540B2B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Tabelas do ERP Protheus (cadastro de clientes).</w:t>
      </w:r>
    </w:p>
    <w:p w14:paraId="6E145475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O Motor de Identidade consolida os ~126 mil registros brutos do cadastro em ~4 mil grupos econômicos reais, eliminando duplicatas.</w:t>
      </w:r>
    </w:p>
    <w:p w14:paraId="1CF8FC7D" w14:textId="25EB20EE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Cidade e Estado são obtidos diretamente da tabela SA1010 do 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</w:t>
      </w:r>
      <w:r w:rsidR="00F91CD2">
        <w:rPr>
          <w:lang w:val="pt-BR"/>
        </w:rPr>
        <w:t>Protheus</w:t>
      </w:r>
      <w:r w:rsidRPr="005E79C3">
        <w:rPr>
          <w:lang w:val="pt-BR"/>
        </w:rPr>
        <w:t>), enriquecidos com a Mesorregião via mapeamento geográfico.</w:t>
      </w:r>
    </w:p>
    <w:p w14:paraId="16FAF98A" w14:textId="78CA7114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Recência (</w:t>
      </w:r>
      <w:proofErr w:type="spellStart"/>
      <w:r w:rsidRPr="005E79C3">
        <w:rPr>
          <w:b/>
          <w:lang w:val="pt-BR"/>
        </w:rPr>
        <w:t>DT_</w:t>
      </w:r>
      <w:proofErr w:type="gramStart"/>
      <w:r w:rsidRPr="005E79C3">
        <w:rPr>
          <w:b/>
          <w:lang w:val="pt-BR"/>
        </w:rPr>
        <w:t>Ultima</w:t>
      </w:r>
      <w:proofErr w:type="gramEnd"/>
      <w:r w:rsidRPr="005E79C3">
        <w:rPr>
          <w:b/>
          <w:lang w:val="pt-BR"/>
        </w:rPr>
        <w:t>_Compra</w:t>
      </w:r>
      <w:proofErr w:type="spellEnd"/>
      <w:r w:rsidRPr="005E79C3">
        <w:rPr>
          <w:b/>
          <w:lang w:val="pt-BR"/>
        </w:rPr>
        <w:t xml:space="preserve">, </w:t>
      </w:r>
      <w:proofErr w:type="spellStart"/>
      <w:r w:rsidRPr="005E79C3">
        <w:rPr>
          <w:b/>
          <w:lang w:val="pt-BR"/>
        </w:rPr>
        <w:t>Dias</w:t>
      </w:r>
      <w:proofErr w:type="gramStart"/>
      <w:r w:rsidRPr="005E79C3">
        <w:rPr>
          <w:b/>
          <w:lang w:val="pt-BR"/>
        </w:rPr>
        <w:t>_Inativo</w:t>
      </w:r>
      <w:proofErr w:type="spellEnd"/>
      <w:proofErr w:type="gramEnd"/>
      <w:r w:rsidRPr="005E79C3">
        <w:rPr>
          <w:b/>
          <w:lang w:val="pt-BR"/>
        </w:rPr>
        <w:t>)</w:t>
      </w:r>
    </w:p>
    <w:p w14:paraId="3543EA7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Notas fiscais do ERP Protheus.</w:t>
      </w:r>
    </w:p>
    <w:p w14:paraId="0ED0D66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Dias de inatividade = data atual − data da última compra.</w:t>
      </w:r>
    </w:p>
    <w:p w14:paraId="7CBD5260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Potencial e Classificação (</w:t>
      </w:r>
      <w:proofErr w:type="spellStart"/>
      <w:r w:rsidRPr="005E79C3">
        <w:rPr>
          <w:b/>
          <w:lang w:val="pt-BR"/>
        </w:rPr>
        <w:t>Potencial_Grupo</w:t>
      </w:r>
      <w:proofErr w:type="spellEnd"/>
      <w:r w:rsidRPr="005E79C3">
        <w:rPr>
          <w:b/>
          <w:lang w:val="pt-BR"/>
        </w:rPr>
        <w:t xml:space="preserve">, </w:t>
      </w:r>
      <w:proofErr w:type="spellStart"/>
      <w:r w:rsidRPr="005E79C3">
        <w:rPr>
          <w:b/>
          <w:lang w:val="pt-BR"/>
        </w:rPr>
        <w:t>Classificacao</w:t>
      </w:r>
      <w:proofErr w:type="spellEnd"/>
      <w:r w:rsidRPr="005E79C3">
        <w:rPr>
          <w:b/>
          <w:lang w:val="pt-BR"/>
        </w:rPr>
        <w:t>, SOW)</w:t>
      </w:r>
    </w:p>
    <w:p w14:paraId="060E38D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Frota de máquinas John Deere (</w:t>
      </w:r>
      <w:proofErr w:type="spellStart"/>
      <w:r w:rsidRPr="005E79C3">
        <w:rPr>
          <w:lang w:val="pt-BR"/>
        </w:rPr>
        <w:t>PoPS</w:t>
      </w:r>
      <w:proofErr w:type="spellEnd"/>
      <w:r w:rsidRPr="005E79C3">
        <w:rPr>
          <w:lang w:val="pt-BR"/>
        </w:rPr>
        <w:t xml:space="preserve">) + Índice </w:t>
      </w:r>
      <w:proofErr w:type="spellStart"/>
      <w:r w:rsidRPr="005E79C3">
        <w:rPr>
          <w:lang w:val="pt-BR"/>
        </w:rPr>
        <w:t>Sobratema</w:t>
      </w:r>
      <w:proofErr w:type="spellEnd"/>
      <w:r w:rsidRPr="005E79C3">
        <w:rPr>
          <w:lang w:val="pt-BR"/>
        </w:rPr>
        <w:t xml:space="preserve"> (padrão nacional da Associação Brasileira de Tecnologia para Construção).</w:t>
      </w:r>
    </w:p>
    <w:p w14:paraId="6AA775A2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Potencial: calcula o custo anual de peças para cada máquina.</w:t>
      </w:r>
    </w:p>
    <w:p w14:paraId="3558A66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Motor de Estratégia: cruza faturamento × potencial = 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 (SOW).</w:t>
      </w:r>
    </w:p>
    <w:p w14:paraId="24F4ECD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Segmentação: consolida tudo e gera a classificação A1-C1.</w:t>
      </w:r>
    </w:p>
    <w:p w14:paraId="632E3CF5" w14:textId="77777777" w:rsidR="007F16EA" w:rsidRDefault="00000000">
      <w:proofErr w:type="spellStart"/>
      <w:r>
        <w:rPr>
          <w:b/>
        </w:rPr>
        <w:t>Equipamentos</w:t>
      </w:r>
      <w:proofErr w:type="spellEnd"/>
    </w:p>
    <w:p w14:paraId="7FE568D4" w14:textId="77777777" w:rsidR="007F16EA" w:rsidRDefault="00000000">
      <w:pPr>
        <w:pStyle w:val="Commarcadores"/>
        <w:ind w:left="720"/>
      </w:pPr>
      <w:r>
        <w:t>Fonte original: PoPS (portal John Deere) + ERP Protheus.</w:t>
      </w:r>
    </w:p>
    <w:p w14:paraId="1EF38773" w14:textId="77777777" w:rsidR="007F16EA" w:rsidRDefault="00000000">
      <w:r>
        <w:rPr>
          <w:b/>
        </w:rPr>
        <w:t>Seedz (Pontos_Seedz)</w:t>
      </w:r>
    </w:p>
    <w:p w14:paraId="7FA0191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Fonte original: Planilha de dados 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 (programa de fidelidade Inova).</w:t>
      </w:r>
    </w:p>
    <w:p w14:paraId="3BF0AC01" w14:textId="77777777" w:rsidR="007F16EA" w:rsidRDefault="00000000">
      <w:proofErr w:type="spellStart"/>
      <w:r>
        <w:rPr>
          <w:b/>
        </w:rPr>
        <w:t>InovaPay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InovaPay_Limite_Dis</w:t>
      </w:r>
      <w:proofErr w:type="spellEnd"/>
      <w:r>
        <w:rPr>
          <w:b/>
        </w:rPr>
        <w:t>)</w:t>
      </w:r>
    </w:p>
    <w:p w14:paraId="1B03720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Fonte original: Relatório de clientes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 xml:space="preserve"> (crédito interno).</w:t>
      </w:r>
    </w:p>
    <w:p w14:paraId="6E39BA26" w14:textId="77777777" w:rsidR="007F16EA" w:rsidRDefault="00000000">
      <w:proofErr w:type="spellStart"/>
      <w:r>
        <w:rPr>
          <w:b/>
        </w:rPr>
        <w:t>Orçamentos</w:t>
      </w:r>
      <w:proofErr w:type="spellEnd"/>
      <w:r>
        <w:rPr>
          <w:b/>
        </w:rPr>
        <w:t xml:space="preserve"> (N_Orcamento_12m)</w:t>
      </w:r>
    </w:p>
    <w:p w14:paraId="37A7349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Metas Peças (base de orçamentos). Também usado para excluir clientes com orçamento recente.</w:t>
      </w:r>
    </w:p>
    <w:p w14:paraId="2498AD1E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4.5 Fluxo Resumido da Linha de Montagem</w:t>
      </w:r>
    </w:p>
    <w:p w14:paraId="103616D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Protheus/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(ERP) → Motor de Identidade → Grupos Econômicos Consolidados</w:t>
      </w:r>
    </w:p>
    <w:p w14:paraId="0616FFC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Protheus/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(ERP) → Motor de Faturamento → Vendas de Peças por Grupo</w:t>
      </w:r>
    </w:p>
    <w:p w14:paraId="3B5EA485" w14:textId="77777777" w:rsidR="007F16EA" w:rsidRPr="005E79C3" w:rsidRDefault="00000000">
      <w:pPr>
        <w:pStyle w:val="Commarcadores"/>
        <w:ind w:left="720"/>
        <w:rPr>
          <w:lang w:val="pt-BR"/>
        </w:rPr>
      </w:pPr>
      <w:proofErr w:type="spellStart"/>
      <w:r w:rsidRPr="005E79C3">
        <w:rPr>
          <w:lang w:val="pt-BR"/>
        </w:rPr>
        <w:t>PoPS</w:t>
      </w:r>
      <w:proofErr w:type="spellEnd"/>
      <w:r w:rsidRPr="005E79C3">
        <w:rPr>
          <w:lang w:val="pt-BR"/>
        </w:rPr>
        <w:t xml:space="preserve"> (John Deere) → Motor de Potencial → Potencial de Compra por Grupo</w:t>
      </w:r>
    </w:p>
    <w:p w14:paraId="38DA638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Faturamento + Motor de Potencial → Motor de Estratégia → SOW (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Wallet)</w:t>
      </w:r>
    </w:p>
    <w:p w14:paraId="2D27EF8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Estratégia → Motor de Segmentação → Classificação A1-C1</w:t>
      </w:r>
    </w:p>
    <w:p w14:paraId="701CF990" w14:textId="3E1ABD60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lastRenderedPageBreak/>
        <w:t>Todos os motores anteriores → CEVAP → Aplica regra de inatividade (≥90 dias) + exclusão de orçamentos recentes</w:t>
      </w:r>
      <w:r w:rsidR="00F91CD2">
        <w:rPr>
          <w:lang w:val="pt-BR"/>
        </w:rPr>
        <w:t>/abertos</w:t>
      </w:r>
      <w:r w:rsidRPr="005E79C3">
        <w:rPr>
          <w:lang w:val="pt-BR"/>
        </w:rPr>
        <w:t xml:space="preserve"> + enriquecimento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,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, equipamentos, cidade/mesorregião) + preservação de controle comercial</w:t>
      </w:r>
    </w:p>
    <w:p w14:paraId="229EFC41" w14:textId="77777777" w:rsidR="007F16EA" w:rsidRDefault="00000000">
      <w:pPr>
        <w:pStyle w:val="Commarcadores"/>
        <w:ind w:left="720"/>
      </w:pPr>
      <w:r>
        <w:t xml:space="preserve">CEVAP → </w:t>
      </w:r>
      <w:proofErr w:type="spellStart"/>
      <w:r>
        <w:t>Planilha</w:t>
      </w:r>
      <w:proofErr w:type="spellEnd"/>
      <w:r>
        <w:t xml:space="preserve"> de Ativação → OneDrive</w:t>
      </w:r>
    </w:p>
    <w:p w14:paraId="484015AA" w14:textId="77777777" w:rsidR="007F16EA" w:rsidRDefault="00000000">
      <w:pPr>
        <w:pStyle w:val="Ttulo1"/>
      </w:pPr>
      <w:r>
        <w:rPr>
          <w:rFonts w:ascii="Calibri" w:hAnsi="Calibri"/>
          <w:color w:val="1F4E79"/>
        </w:rPr>
        <w:t>5. Guia de Funcionamento</w:t>
      </w:r>
    </w:p>
    <w:p w14:paraId="5D8C029B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5.1 O Que é um Cliente CEVAP</w:t>
      </w:r>
    </w:p>
    <w:p w14:paraId="5F4CEB11" w14:textId="5CE7A2D9" w:rsidR="007F16EA" w:rsidRPr="005E79C3" w:rsidRDefault="00000000">
      <w:pPr>
        <w:rPr>
          <w:lang w:val="pt-BR"/>
        </w:rPr>
      </w:pPr>
      <w:r w:rsidRPr="005E79C3">
        <w:rPr>
          <w:lang w:val="pt-BR"/>
        </w:rPr>
        <w:t>Um cliente CEVAP é um grupo econômico inteiro</w:t>
      </w:r>
      <w:r w:rsidR="00F91CD2">
        <w:rPr>
          <w:lang w:val="pt-BR"/>
        </w:rPr>
        <w:t>,</w:t>
      </w:r>
      <w:r w:rsidRPr="005E79C3">
        <w:rPr>
          <w:lang w:val="pt-BR"/>
        </w:rPr>
        <w:t xml:space="preserve"> não uma filial isolada</w:t>
      </w:r>
      <w:r w:rsidR="00F91CD2">
        <w:rPr>
          <w:lang w:val="pt-BR"/>
        </w:rPr>
        <w:t xml:space="preserve">, </w:t>
      </w:r>
      <w:r w:rsidRPr="005E79C3">
        <w:rPr>
          <w:lang w:val="pt-BR"/>
        </w:rPr>
        <w:t xml:space="preserve">que está há 90 dias ou mais sem registrar nenhuma compra de peças em nenhuma de suas filiais. O conceito de grupo econômico é fundamental: empresas com múltiplos </w:t>
      </w:r>
      <w:proofErr w:type="spellStart"/>
      <w:r w:rsidRPr="005E79C3">
        <w:rPr>
          <w:lang w:val="pt-BR"/>
        </w:rPr>
        <w:t>CNPJs</w:t>
      </w:r>
      <w:proofErr w:type="spellEnd"/>
      <w:r w:rsidRPr="005E79C3">
        <w:rPr>
          <w:lang w:val="pt-BR"/>
        </w:rPr>
        <w:t xml:space="preserve"> (filiais) que pertencem ao mesmo grupo são tratadas como um único cliente.</w:t>
      </w:r>
    </w:p>
    <w:p w14:paraId="24E2E78F" w14:textId="50CD661A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Exemplo prático: se a "Construtora ABC" tem filial em Belo Horizonte (CNPJ 12.345.678/0001-00) e filial em Uberlândia (CNPJ 12.345.678/0002-00), e a filial de Uberlândia comprou </w:t>
      </w:r>
      <w:proofErr w:type="gramStart"/>
      <w:r w:rsidRPr="005E79C3">
        <w:rPr>
          <w:lang w:val="pt-BR"/>
        </w:rPr>
        <w:t>há 45 dias</w:t>
      </w:r>
      <w:proofErr w:type="gramEnd"/>
      <w:r w:rsidRPr="005E79C3">
        <w:rPr>
          <w:lang w:val="pt-BR"/>
        </w:rPr>
        <w:t xml:space="preserve"> mas a de Belo Horizonte não compra há 120 dias, o grupo inteiro está ativo</w:t>
      </w:r>
      <w:r w:rsidR="00F91CD2">
        <w:rPr>
          <w:lang w:val="pt-BR"/>
        </w:rPr>
        <w:t>,</w:t>
      </w:r>
      <w:r w:rsidRPr="005E79C3">
        <w:rPr>
          <w:lang w:val="pt-BR"/>
        </w:rPr>
        <w:t xml:space="preserve"> a compra de uma filial zera a inatividade de todas.</w:t>
      </w:r>
    </w:p>
    <w:p w14:paraId="2FDA2082" w14:textId="72237DBA" w:rsidR="007F16EA" w:rsidRDefault="00000000">
      <w:pPr>
        <w:pStyle w:val="Ttulo2"/>
      </w:pPr>
      <w:r>
        <w:rPr>
          <w:rFonts w:ascii="Calibri" w:hAnsi="Calibri"/>
          <w:color w:val="2E74B5"/>
        </w:rPr>
        <w:t xml:space="preserve">5.2 Como o Motor </w:t>
      </w:r>
      <w:r w:rsidR="00F91CD2">
        <w:rPr>
          <w:rFonts w:ascii="Calibri" w:hAnsi="Calibri"/>
          <w:color w:val="2E74B5"/>
        </w:rPr>
        <w:t>d</w:t>
      </w:r>
      <w:r>
        <w:rPr>
          <w:rFonts w:ascii="Calibri" w:hAnsi="Calibri"/>
          <w:color w:val="2E74B5"/>
        </w:rPr>
        <w:t>ecide</w:t>
      </w:r>
    </w:p>
    <w:p w14:paraId="5E1DE09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Recebe a base consolidada de clientes (identidade + faturamento + potencial + classificação) processada pelos motores anteriores.</w:t>
      </w:r>
    </w:p>
    <w:p w14:paraId="3B3EA22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Calcula a inatividade subtraindo a data da última compra do grupo da data atual.</w:t>
      </w:r>
    </w:p>
    <w:p w14:paraId="6CDF9811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Filtra apenas grupos com ≥ 90 dias de inatividade.</w:t>
      </w:r>
    </w:p>
    <w:p w14:paraId="58D9C593" w14:textId="0B7E2714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Remove grupos com orçamento aberto (já em negociação).</w:t>
      </w:r>
    </w:p>
    <w:p w14:paraId="357D8CEB" w14:textId="67C6A300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Enriquece com </w:t>
      </w:r>
      <w:r w:rsidR="00F91CD2">
        <w:rPr>
          <w:lang w:val="pt-BR"/>
        </w:rPr>
        <w:t>créditos</w:t>
      </w:r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, limite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, equipamentos e localização.</w:t>
      </w:r>
    </w:p>
    <w:p w14:paraId="2C93D82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Consolida por grupo econômico, selecionando a filial de maior faturamento como referência.</w:t>
      </w:r>
    </w:p>
    <w:p w14:paraId="3ED846A1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Preserva o controle comercial preenchido pelos consultores na planilha anterior.</w:t>
      </w:r>
    </w:p>
    <w:p w14:paraId="0A1A6F00" w14:textId="1A06A3FB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Publica no OneDrive</w:t>
      </w:r>
    </w:p>
    <w:p w14:paraId="332104AE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5.3 Ciclo de Vida de um Lead CEVAP</w:t>
      </w:r>
    </w:p>
    <w:p w14:paraId="14BD4B1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Cliente entra na planilha CEVAP.</w:t>
      </w:r>
    </w:p>
    <w:p w14:paraId="3CF6C74A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Consultor tenta o Contato 1 e registra data e status.</w:t>
      </w:r>
    </w:p>
    <w:p w14:paraId="6248271D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Se houve contato realizado, o consultor registra o resultado. Se não houve retorno, o consultor tenta o Contato 2.</w:t>
      </w:r>
    </w:p>
    <w:p w14:paraId="05117D73" w14:textId="725051B0" w:rsidR="007F16EA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Resultado: Se o cliente voltou a comprar</w:t>
      </w:r>
      <w:r w:rsidR="00955AE5">
        <w:rPr>
          <w:lang w:val="pt-BR"/>
        </w:rPr>
        <w:t xml:space="preserve"> </w:t>
      </w:r>
      <w:r w:rsidR="00955AE5" w:rsidRPr="00955AE5">
        <w:rPr>
          <w:b/>
          <w:bCs/>
          <w:lang w:val="pt-BR"/>
        </w:rPr>
        <w:t xml:space="preserve">com </w:t>
      </w:r>
      <w:r w:rsidR="00955AE5">
        <w:rPr>
          <w:b/>
          <w:bCs/>
          <w:lang w:val="pt-BR"/>
        </w:rPr>
        <w:t xml:space="preserve">um </w:t>
      </w:r>
      <w:r w:rsidR="00955AE5" w:rsidRPr="00955AE5">
        <w:rPr>
          <w:b/>
          <w:bCs/>
          <w:lang w:val="pt-BR"/>
        </w:rPr>
        <w:t>consultor</w:t>
      </w:r>
      <w:r w:rsidR="00955AE5">
        <w:rPr>
          <w:b/>
          <w:bCs/>
          <w:lang w:val="pt-BR"/>
        </w:rPr>
        <w:t xml:space="preserve"> do time de peças*</w:t>
      </w:r>
      <w:r w:rsidRPr="005E79C3">
        <w:rPr>
          <w:lang w:val="pt-BR"/>
        </w:rPr>
        <w:t xml:space="preserve"> em qualquer filial → o grupo sai do CEVAP automaticamente na próxima publicação. Se não converteu → permanece na fila para nova tentativa na semana seguinte.</w:t>
      </w:r>
    </w:p>
    <w:p w14:paraId="4BD5F753" w14:textId="667A9410" w:rsidR="00955AE5" w:rsidRPr="00955AE5" w:rsidRDefault="00955AE5" w:rsidP="00955AE5">
      <w:pPr>
        <w:pStyle w:val="Commarcadores"/>
        <w:numPr>
          <w:ilvl w:val="0"/>
          <w:numId w:val="0"/>
        </w:numPr>
        <w:ind w:left="360"/>
        <w:rPr>
          <w:i/>
          <w:iCs/>
          <w:lang w:val="pt-BR"/>
        </w:rPr>
      </w:pPr>
      <w:r>
        <w:rPr>
          <w:i/>
          <w:iCs/>
          <w:lang w:val="pt-BR"/>
        </w:rPr>
        <w:t>*Consultores de peças = lista exclusiva de consultores do time de peças da linha amarela</w:t>
      </w:r>
    </w:p>
    <w:p w14:paraId="0B064633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6. Indicadores de Performance (KPIs)</w:t>
      </w:r>
    </w:p>
    <w:p w14:paraId="0ABFC675" w14:textId="77777777" w:rsidR="007F16EA" w:rsidRPr="005E79C3" w:rsidRDefault="00000000">
      <w:pPr>
        <w:rPr>
          <w:lang w:val="pt-BR"/>
        </w:rPr>
      </w:pPr>
      <w:r w:rsidRPr="005E79C3">
        <w:rPr>
          <w:lang w:val="pt-BR"/>
        </w:rPr>
        <w:t>O resultado do CEVAP é avaliado semanalmente através de três indicadores: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272"/>
      </w:tblGrid>
      <w:tr w:rsidR="007F16EA" w14:paraId="3139C2EA" w14:textId="77777777" w:rsidTr="00955AE5">
        <w:trPr>
          <w:jc w:val="center"/>
        </w:trPr>
        <w:tc>
          <w:tcPr>
            <w:tcW w:w="1134" w:type="dxa"/>
            <w:shd w:val="clear" w:color="auto" w:fill="1F4E79"/>
          </w:tcPr>
          <w:p w14:paraId="7A2D2542" w14:textId="77777777" w:rsidR="007F16EA" w:rsidRDefault="00000000" w:rsidP="00955AE5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Indicador</w:t>
            </w:r>
            <w:proofErr w:type="spellEnd"/>
          </w:p>
        </w:tc>
        <w:tc>
          <w:tcPr>
            <w:tcW w:w="8272" w:type="dxa"/>
            <w:shd w:val="clear" w:color="auto" w:fill="1F4E79"/>
          </w:tcPr>
          <w:p w14:paraId="30FB3C01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Que Mede</w:t>
            </w:r>
          </w:p>
        </w:tc>
      </w:tr>
      <w:tr w:rsidR="007F16EA" w14:paraId="19BBFF7A" w14:textId="77777777" w:rsidTr="00955AE5">
        <w:trPr>
          <w:jc w:val="center"/>
        </w:trPr>
        <w:tc>
          <w:tcPr>
            <w:tcW w:w="1134" w:type="dxa"/>
          </w:tcPr>
          <w:p w14:paraId="0FF7489A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Taxa de Conversão</w:t>
            </w:r>
          </w:p>
        </w:tc>
        <w:tc>
          <w:tcPr>
            <w:tcW w:w="8272" w:type="dxa"/>
          </w:tcPr>
          <w:p w14:paraId="1CA8FB43" w14:textId="77777777" w:rsidR="007F16EA" w:rsidRDefault="00000000">
            <w:r w:rsidRPr="005E79C3">
              <w:rPr>
                <w:sz w:val="20"/>
                <w:lang w:val="pt-BR"/>
              </w:rPr>
              <w:t xml:space="preserve">Clientes acionados que voltaram a comprar / total de clientes na fila. </w:t>
            </w:r>
            <w:proofErr w:type="spellStart"/>
            <w:r>
              <w:rPr>
                <w:sz w:val="20"/>
              </w:rPr>
              <w:t>Indicador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primário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sucesso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16EA" w14:paraId="5959262B" w14:textId="77777777" w:rsidTr="00955AE5">
        <w:trPr>
          <w:jc w:val="center"/>
        </w:trPr>
        <w:tc>
          <w:tcPr>
            <w:tcW w:w="1134" w:type="dxa"/>
          </w:tcPr>
          <w:p w14:paraId="5C449F65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Cobertura</w:t>
            </w:r>
          </w:p>
        </w:tc>
        <w:tc>
          <w:tcPr>
            <w:tcW w:w="8272" w:type="dxa"/>
          </w:tcPr>
          <w:p w14:paraId="4FA3C8BF" w14:textId="77777777" w:rsidR="007F16EA" w:rsidRDefault="00000000">
            <w:r w:rsidRPr="005E79C3">
              <w:rPr>
                <w:sz w:val="20"/>
                <w:lang w:val="pt-BR"/>
              </w:rPr>
              <w:t xml:space="preserve">Percentual da base inativa que recebeu ao menos uma tentativa de contato. </w:t>
            </w:r>
            <w:r>
              <w:rPr>
                <w:sz w:val="20"/>
              </w:rPr>
              <w:t xml:space="preserve">Mede o </w:t>
            </w:r>
            <w:proofErr w:type="spellStart"/>
            <w:r>
              <w:rPr>
                <w:sz w:val="20"/>
              </w:rPr>
              <w:t>alcance</w:t>
            </w:r>
            <w:proofErr w:type="spellEnd"/>
            <w:r>
              <w:rPr>
                <w:sz w:val="20"/>
              </w:rPr>
              <w:t xml:space="preserve"> do trabalho comercial.</w:t>
            </w:r>
          </w:p>
        </w:tc>
      </w:tr>
      <w:tr w:rsidR="007F16EA" w14:paraId="2B5ADF1E" w14:textId="77777777" w:rsidTr="00955AE5">
        <w:trPr>
          <w:jc w:val="center"/>
        </w:trPr>
        <w:tc>
          <w:tcPr>
            <w:tcW w:w="1134" w:type="dxa"/>
          </w:tcPr>
          <w:p w14:paraId="4C1A3735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Aging</w:t>
            </w:r>
          </w:p>
        </w:tc>
        <w:tc>
          <w:tcPr>
            <w:tcW w:w="8272" w:type="dxa"/>
          </w:tcPr>
          <w:p w14:paraId="24C4C233" w14:textId="77777777" w:rsidR="007F16EA" w:rsidRDefault="00000000">
            <w:r w:rsidRPr="005E79C3">
              <w:rPr>
                <w:sz w:val="20"/>
                <w:lang w:val="pt-BR"/>
              </w:rPr>
              <w:t xml:space="preserve">Tempo médio entre a publicação do lead e o primeiro contato registrado. </w:t>
            </w:r>
            <w:r>
              <w:rPr>
                <w:sz w:val="20"/>
              </w:rPr>
              <w:t xml:space="preserve">Mede a </w:t>
            </w:r>
            <w:proofErr w:type="spellStart"/>
            <w:r>
              <w:rPr>
                <w:sz w:val="20"/>
              </w:rPr>
              <w:t>agilidade</w:t>
            </w:r>
            <w:proofErr w:type="spellEnd"/>
            <w:r>
              <w:rPr>
                <w:sz w:val="20"/>
              </w:rPr>
              <w:t xml:space="preserve"> da equipe.</w:t>
            </w:r>
          </w:p>
        </w:tc>
      </w:tr>
    </w:tbl>
    <w:p w14:paraId="582E4B67" w14:textId="77777777" w:rsidR="007F16EA" w:rsidRDefault="007F16EA"/>
    <w:p w14:paraId="030F8F87" w14:textId="77777777" w:rsidR="007F16EA" w:rsidRDefault="00000000">
      <w:pPr>
        <w:pStyle w:val="Ttulo1"/>
      </w:pPr>
      <w:r>
        <w:rPr>
          <w:rFonts w:ascii="Calibri" w:hAnsi="Calibri"/>
          <w:color w:val="1F4E79"/>
        </w:rPr>
        <w:t>7. Matriz de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705"/>
      </w:tblGrid>
      <w:tr w:rsidR="007F16EA" w14:paraId="2E3EEF8D" w14:textId="77777777" w:rsidTr="00955AE5">
        <w:trPr>
          <w:jc w:val="center"/>
        </w:trPr>
        <w:tc>
          <w:tcPr>
            <w:tcW w:w="1701" w:type="dxa"/>
            <w:shd w:val="clear" w:color="auto" w:fill="1F4E79"/>
          </w:tcPr>
          <w:p w14:paraId="0701F11C" w14:textId="77777777" w:rsidR="007F16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Responsável</w:t>
            </w:r>
            <w:proofErr w:type="spellEnd"/>
          </w:p>
        </w:tc>
        <w:tc>
          <w:tcPr>
            <w:tcW w:w="7705" w:type="dxa"/>
            <w:shd w:val="clear" w:color="auto" w:fill="1F4E79"/>
          </w:tcPr>
          <w:p w14:paraId="708B6217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7F16EA" w:rsidRPr="005E79C3" w14:paraId="7380D5F7" w14:textId="77777777" w:rsidTr="00955AE5">
        <w:trPr>
          <w:jc w:val="center"/>
        </w:trPr>
        <w:tc>
          <w:tcPr>
            <w:tcW w:w="1701" w:type="dxa"/>
          </w:tcPr>
          <w:p w14:paraId="3F78D1CF" w14:textId="77777777" w:rsidR="007F16EA" w:rsidRDefault="00000000">
            <w:r>
              <w:rPr>
                <w:b/>
                <w:sz w:val="20"/>
              </w:rPr>
              <w:t>Victor Bernardi</w:t>
            </w:r>
          </w:p>
        </w:tc>
        <w:tc>
          <w:tcPr>
            <w:tcW w:w="7705" w:type="dxa"/>
          </w:tcPr>
          <w:p w14:paraId="1915C705" w14:textId="77777777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 xml:space="preserve">Manutenção do motor CEVAP, pipeline de dados, atualização do </w:t>
            </w:r>
            <w:proofErr w:type="spellStart"/>
            <w:r w:rsidRPr="005E79C3">
              <w:rPr>
                <w:sz w:val="20"/>
                <w:lang w:val="pt-BR"/>
              </w:rPr>
              <w:t>PoPS</w:t>
            </w:r>
            <w:proofErr w:type="spellEnd"/>
            <w:r w:rsidRPr="005E79C3">
              <w:rPr>
                <w:sz w:val="20"/>
                <w:lang w:val="pt-BR"/>
              </w:rPr>
              <w:t>, publicação semanal</w:t>
            </w:r>
          </w:p>
        </w:tc>
      </w:tr>
      <w:tr w:rsidR="007F16EA" w:rsidRPr="005E79C3" w14:paraId="1A654AE2" w14:textId="77777777" w:rsidTr="00955AE5">
        <w:trPr>
          <w:jc w:val="center"/>
        </w:trPr>
        <w:tc>
          <w:tcPr>
            <w:tcW w:w="1701" w:type="dxa"/>
          </w:tcPr>
          <w:p w14:paraId="309D6C0D" w14:textId="7700EA0B" w:rsidR="007F16EA" w:rsidRDefault="00000000">
            <w:r>
              <w:rPr>
                <w:b/>
                <w:sz w:val="20"/>
              </w:rPr>
              <w:t>Roberto Reis</w:t>
            </w:r>
          </w:p>
        </w:tc>
        <w:tc>
          <w:tcPr>
            <w:tcW w:w="7705" w:type="dxa"/>
          </w:tcPr>
          <w:p w14:paraId="22470A5D" w14:textId="50AF74C0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Gestão da equip</w:t>
            </w:r>
            <w:r w:rsidR="00955AE5">
              <w:rPr>
                <w:sz w:val="20"/>
                <w:lang w:val="pt-BR"/>
              </w:rPr>
              <w:t>e</w:t>
            </w:r>
            <w:r w:rsidRPr="005E79C3">
              <w:rPr>
                <w:sz w:val="20"/>
                <w:lang w:val="pt-BR"/>
              </w:rPr>
              <w:t>, cobrança de follow-up, análise dos indicadores</w:t>
            </w:r>
          </w:p>
        </w:tc>
      </w:tr>
      <w:tr w:rsidR="007F16EA" w:rsidRPr="005E79C3" w14:paraId="29D86D1E" w14:textId="77777777" w:rsidTr="00955AE5">
        <w:trPr>
          <w:jc w:val="center"/>
        </w:trPr>
        <w:tc>
          <w:tcPr>
            <w:tcW w:w="1701" w:type="dxa"/>
          </w:tcPr>
          <w:p w14:paraId="3AF68350" w14:textId="322C7140" w:rsidR="007F16EA" w:rsidRDefault="00000000">
            <w:r>
              <w:rPr>
                <w:b/>
                <w:sz w:val="20"/>
              </w:rPr>
              <w:t>Filipe Paiva</w:t>
            </w:r>
            <w:r w:rsidR="00955AE5">
              <w:rPr>
                <w:b/>
                <w:sz w:val="20"/>
              </w:rPr>
              <w:t xml:space="preserve"> / Katia Almeida</w:t>
            </w:r>
          </w:p>
        </w:tc>
        <w:tc>
          <w:tcPr>
            <w:tcW w:w="7705" w:type="dxa"/>
          </w:tcPr>
          <w:p w14:paraId="1E186B48" w14:textId="77777777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Contato com clientes, preenchimento das colunas de controle na planilha</w:t>
            </w:r>
          </w:p>
        </w:tc>
      </w:tr>
      <w:tr w:rsidR="007F16EA" w:rsidRPr="005E79C3" w14:paraId="7CCC7002" w14:textId="77777777" w:rsidTr="00955AE5">
        <w:trPr>
          <w:jc w:val="center"/>
        </w:trPr>
        <w:tc>
          <w:tcPr>
            <w:tcW w:w="1701" w:type="dxa"/>
          </w:tcPr>
          <w:p w14:paraId="1EB91215" w14:textId="1FEF449D" w:rsidR="007F16EA" w:rsidRDefault="00955AE5">
            <w:r>
              <w:rPr>
                <w:b/>
                <w:sz w:val="20"/>
              </w:rPr>
              <w:t>TI /</w:t>
            </w:r>
            <w:proofErr w:type="spellStart"/>
            <w:r>
              <w:rPr>
                <w:b/>
                <w:sz w:val="20"/>
              </w:rPr>
              <w:t>Infraestrutura</w:t>
            </w:r>
            <w:proofErr w:type="spellEnd"/>
          </w:p>
        </w:tc>
        <w:tc>
          <w:tcPr>
            <w:tcW w:w="7705" w:type="dxa"/>
          </w:tcPr>
          <w:p w14:paraId="3CF7783C" w14:textId="12654CE6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Disponibilidade e integridade dos dados fonte (ERP</w:t>
            </w:r>
            <w:r w:rsidR="00955AE5">
              <w:rPr>
                <w:sz w:val="20"/>
                <w:lang w:val="pt-BR"/>
              </w:rPr>
              <w:t xml:space="preserve"> e </w:t>
            </w:r>
            <w:proofErr w:type="spellStart"/>
            <w:r w:rsidR="00955AE5">
              <w:rPr>
                <w:sz w:val="20"/>
                <w:lang w:val="pt-BR"/>
              </w:rPr>
              <w:t>PowerBI</w:t>
            </w:r>
            <w:proofErr w:type="spellEnd"/>
            <w:r w:rsidRPr="005E79C3">
              <w:rPr>
                <w:sz w:val="20"/>
                <w:lang w:val="pt-BR"/>
              </w:rPr>
              <w:t>)</w:t>
            </w:r>
          </w:p>
        </w:tc>
      </w:tr>
    </w:tbl>
    <w:p w14:paraId="49F1F13D" w14:textId="77777777" w:rsidR="007F16EA" w:rsidRPr="005E79C3" w:rsidRDefault="007F16EA">
      <w:pPr>
        <w:rPr>
          <w:lang w:val="pt-BR"/>
        </w:rPr>
      </w:pPr>
    </w:p>
    <w:p w14:paraId="61C09C61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8. Governança e Segurança dos Dados</w:t>
      </w:r>
    </w:p>
    <w:p w14:paraId="353C32AB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8.1 Preservação de Controle Comercial</w:t>
      </w:r>
    </w:p>
    <w:p w14:paraId="6170A682" w14:textId="46566C49" w:rsidR="007F16EA" w:rsidRPr="00955AE5" w:rsidRDefault="00000000">
      <w:pPr>
        <w:rPr>
          <w:lang w:val="pt-BR"/>
        </w:rPr>
      </w:pPr>
      <w:r w:rsidRPr="005E79C3">
        <w:rPr>
          <w:lang w:val="pt-BR"/>
        </w:rPr>
        <w:t xml:space="preserve">A cada nova publicação, o motor lê a planilha CEVAP existente no OneDrive e preserva as 5 colunas de controle preenchidas pelos consultores (Data_Tentativa_1, Status_Contato_1, Data_Tentativa_2, Status_Contato_2, </w:t>
      </w:r>
      <w:r w:rsidR="00955AE5" w:rsidRPr="005E79C3">
        <w:rPr>
          <w:lang w:val="pt-BR"/>
        </w:rPr>
        <w:t>Observação</w:t>
      </w:r>
      <w:r w:rsidRPr="005E79C3">
        <w:rPr>
          <w:lang w:val="pt-BR"/>
        </w:rPr>
        <w:t xml:space="preserve">). O </w:t>
      </w:r>
      <w:r w:rsidR="00955AE5">
        <w:rPr>
          <w:lang w:val="pt-BR"/>
        </w:rPr>
        <w:t>cruzamento</w:t>
      </w:r>
      <w:r w:rsidRPr="005E79C3">
        <w:rPr>
          <w:lang w:val="pt-BR"/>
        </w:rPr>
        <w:t xml:space="preserve"> é feito por CNPJ do cliente</w:t>
      </w:r>
      <w:r w:rsidR="00955AE5">
        <w:rPr>
          <w:lang w:val="pt-BR"/>
        </w:rPr>
        <w:t>. N</w:t>
      </w:r>
      <w:r w:rsidRPr="005E79C3">
        <w:rPr>
          <w:lang w:val="pt-BR"/>
        </w:rPr>
        <w:t xml:space="preserve">ovos clientes entram com valores padrão (campos de data vazios, status "Pendente"). </w:t>
      </w:r>
      <w:r w:rsidRPr="00955AE5">
        <w:rPr>
          <w:lang w:val="pt-BR"/>
        </w:rPr>
        <w:t>Nenhum preenchimento manual é sobrescrito.</w:t>
      </w:r>
    </w:p>
    <w:p w14:paraId="39B0A1A5" w14:textId="77777777" w:rsidR="007F16EA" w:rsidRPr="00955AE5" w:rsidRDefault="00000000">
      <w:pPr>
        <w:pStyle w:val="Ttulo2"/>
        <w:rPr>
          <w:lang w:val="pt-BR"/>
        </w:rPr>
      </w:pPr>
      <w:r w:rsidRPr="00955AE5">
        <w:rPr>
          <w:rFonts w:ascii="Calibri" w:hAnsi="Calibri"/>
          <w:color w:val="2E74B5"/>
          <w:lang w:val="pt-BR"/>
        </w:rPr>
        <w:t>8.2 Versionamento e Backup</w:t>
      </w:r>
    </w:p>
    <w:p w14:paraId="4835F74E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Versionamento local: Cada execução gera um arquivo com </w:t>
      </w:r>
      <w:proofErr w:type="spellStart"/>
      <w:r w:rsidRPr="005E79C3">
        <w:rPr>
          <w:lang w:val="pt-BR"/>
        </w:rPr>
        <w:t>timestamp</w:t>
      </w:r>
      <w:proofErr w:type="spellEnd"/>
      <w:r w:rsidRPr="005E79C3">
        <w:rPr>
          <w:lang w:val="pt-BR"/>
        </w:rPr>
        <w:t xml:space="preserve"> no diretório data/ (</w:t>
      </w:r>
      <w:proofErr w:type="spellStart"/>
      <w:r w:rsidRPr="005E79C3">
        <w:rPr>
          <w:lang w:val="pt-BR"/>
        </w:rPr>
        <w:t>ex</w:t>
      </w:r>
      <w:proofErr w:type="spellEnd"/>
      <w:r w:rsidRPr="005E79C3">
        <w:rPr>
          <w:lang w:val="pt-BR"/>
        </w:rPr>
        <w:t>: CEVAP_ATIVACAO_20260602_1430.xlsx), mantendo histórico completo.</w:t>
      </w:r>
    </w:p>
    <w:p w14:paraId="595D464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Backup do OneDrive: Antes de sobrescrever o arquivo do OneDrive, o motor cria uma cópia de segurança com </w:t>
      </w:r>
      <w:proofErr w:type="spellStart"/>
      <w:r w:rsidRPr="005E79C3">
        <w:rPr>
          <w:lang w:val="pt-BR"/>
        </w:rPr>
        <w:t>timestamp</w:t>
      </w:r>
      <w:proofErr w:type="spellEnd"/>
      <w:r w:rsidRPr="005E79C3">
        <w:rPr>
          <w:lang w:val="pt-BR"/>
        </w:rPr>
        <w:t>.</w:t>
      </w:r>
    </w:p>
    <w:p w14:paraId="6A5EBF14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8.3 Validação de Recência das Fontes</w:t>
      </w:r>
    </w:p>
    <w:p w14:paraId="4FD54A91" w14:textId="58F55F9E" w:rsidR="007F16EA" w:rsidRPr="005E79C3" w:rsidRDefault="00000000">
      <w:pPr>
        <w:rPr>
          <w:lang w:val="pt-BR"/>
        </w:rPr>
      </w:pPr>
      <w:r w:rsidRPr="005E79C3">
        <w:rPr>
          <w:lang w:val="pt-BR"/>
        </w:rPr>
        <w:t>Antes de cada execução, o motor verifica se todas as fontes de dados estão atualizadas (via arquivo de controle recency_status.md). Se alguma fonte estiver desatualizada ou ausente, um alerta é emitido</w:t>
      </w:r>
      <w:r w:rsidR="00955AE5">
        <w:rPr>
          <w:lang w:val="pt-BR"/>
        </w:rPr>
        <w:t>. O</w:t>
      </w:r>
      <w:r w:rsidRPr="005E79C3">
        <w:rPr>
          <w:lang w:val="pt-BR"/>
        </w:rPr>
        <w:t xml:space="preserve"> motor continua </w:t>
      </w:r>
      <w:r w:rsidR="00955AE5">
        <w:rPr>
          <w:lang w:val="pt-BR"/>
        </w:rPr>
        <w:t>em funcionamento</w:t>
      </w:r>
      <w:r w:rsidRPr="005E79C3">
        <w:rPr>
          <w:lang w:val="pt-BR"/>
        </w:rPr>
        <w:t>, mas a equipe é notificada. O mesmo relatório é atualizado ao final da execução, registrando a data/hora da última publicação.</w:t>
      </w:r>
    </w:p>
    <w:p w14:paraId="449A7085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lastRenderedPageBreak/>
        <w:t>8.4 Rastreabilidade de Consistência</w:t>
      </w:r>
    </w:p>
    <w:p w14:paraId="73DB81F8" w14:textId="1B682665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Ao final do </w:t>
      </w:r>
      <w:r w:rsidR="00955AE5">
        <w:rPr>
          <w:lang w:val="pt-BR"/>
        </w:rPr>
        <w:t>cruzamento de dados</w:t>
      </w:r>
      <w:r w:rsidRPr="005E79C3">
        <w:rPr>
          <w:lang w:val="pt-BR"/>
        </w:rPr>
        <w:t xml:space="preserve"> com o OneDrive, o motor audita e reporta quantos preenchimentos de controle foram preservados da planilha anterior e se há </w:t>
      </w:r>
      <w:proofErr w:type="spellStart"/>
      <w:r w:rsidRPr="005E79C3">
        <w:rPr>
          <w:lang w:val="pt-BR"/>
        </w:rPr>
        <w:t>CNPJs</w:t>
      </w:r>
      <w:proofErr w:type="spellEnd"/>
      <w:r w:rsidRPr="005E79C3">
        <w:rPr>
          <w:lang w:val="pt-BR"/>
        </w:rPr>
        <w:t xml:space="preserve"> que desapareceram entre uma publicação e outra (possível "solda de identidade"</w:t>
      </w:r>
      <w:r w:rsidR="009F6BEA">
        <w:rPr>
          <w:lang w:val="pt-BR"/>
        </w:rPr>
        <w:t>,</w:t>
      </w:r>
      <w:r w:rsidRPr="005E79C3">
        <w:rPr>
          <w:lang w:val="pt-BR"/>
        </w:rPr>
        <w:t xml:space="preserve"> quando o motor de identidade reagrupa empresas de forma diferente).</w:t>
      </w:r>
    </w:p>
    <w:sectPr w:rsidR="007F16EA" w:rsidRPr="005E79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811A" w14:textId="77777777" w:rsidR="00B20A77" w:rsidRDefault="00B20A77" w:rsidP="00955AE5">
      <w:pPr>
        <w:spacing w:after="0" w:line="240" w:lineRule="auto"/>
      </w:pPr>
      <w:r>
        <w:separator/>
      </w:r>
    </w:p>
  </w:endnote>
  <w:endnote w:type="continuationSeparator" w:id="0">
    <w:p w14:paraId="53618926" w14:textId="77777777" w:rsidR="00B20A77" w:rsidRDefault="00B20A77" w:rsidP="00955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B03D" w14:textId="77777777" w:rsidR="00B20A77" w:rsidRDefault="00B20A77" w:rsidP="00955AE5">
      <w:pPr>
        <w:spacing w:after="0" w:line="240" w:lineRule="auto"/>
      </w:pPr>
      <w:r>
        <w:separator/>
      </w:r>
    </w:p>
  </w:footnote>
  <w:footnote w:type="continuationSeparator" w:id="0">
    <w:p w14:paraId="58891B03" w14:textId="77777777" w:rsidR="00B20A77" w:rsidRDefault="00B20A77" w:rsidP="00955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675849">
    <w:abstractNumId w:val="8"/>
  </w:num>
  <w:num w:numId="2" w16cid:durableId="1905917991">
    <w:abstractNumId w:val="6"/>
  </w:num>
  <w:num w:numId="3" w16cid:durableId="973371189">
    <w:abstractNumId w:val="5"/>
  </w:num>
  <w:num w:numId="4" w16cid:durableId="1884825742">
    <w:abstractNumId w:val="4"/>
  </w:num>
  <w:num w:numId="5" w16cid:durableId="923301083">
    <w:abstractNumId w:val="7"/>
  </w:num>
  <w:num w:numId="6" w16cid:durableId="358121192">
    <w:abstractNumId w:val="3"/>
  </w:num>
  <w:num w:numId="7" w16cid:durableId="1294676034">
    <w:abstractNumId w:val="2"/>
  </w:num>
  <w:num w:numId="8" w16cid:durableId="2018996189">
    <w:abstractNumId w:val="1"/>
  </w:num>
  <w:num w:numId="9" w16cid:durableId="134717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A6"/>
    <w:rsid w:val="0013750A"/>
    <w:rsid w:val="0015074B"/>
    <w:rsid w:val="0029639D"/>
    <w:rsid w:val="00326F90"/>
    <w:rsid w:val="005A39CC"/>
    <w:rsid w:val="005E79C3"/>
    <w:rsid w:val="007F16EA"/>
    <w:rsid w:val="00955AE5"/>
    <w:rsid w:val="009F6BEA"/>
    <w:rsid w:val="00AA1D8D"/>
    <w:rsid w:val="00B20A77"/>
    <w:rsid w:val="00B47730"/>
    <w:rsid w:val="00CB0664"/>
    <w:rsid w:val="00F91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6E1E96"/>
  <w14:defaultImageDpi w14:val="300"/>
  <w15:docId w15:val="{14011461-A656-4397-AF86-42B1719B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1771</Words>
  <Characters>9569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Bernardi</cp:lastModifiedBy>
  <cp:revision>3</cp:revision>
  <dcterms:created xsi:type="dcterms:W3CDTF">2013-12-23T23:15:00Z</dcterms:created>
  <dcterms:modified xsi:type="dcterms:W3CDTF">2026-06-02T19:16:00Z</dcterms:modified>
  <cp:category/>
</cp:coreProperties>
</file>