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Consulta de una tabla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Realizar una página que produzca un listado con todas las viviendas disponibles en la inmobiliaria en orden creciente de precio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171950" cy="1724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Si la vivienda dispone de una foto se mostrará un enlace con la misma que al activarse la cargará en una página independiente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228850" cy="13906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Los pasos a seguir son los siguientes: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1. Ejecutar phpMyAdmin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2. Crear la tabla ‘viviendas’ en la base de datos ‘lindavista’. La tabla estará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formada por 10 campos. fichero viviendas.sql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10225" cy="3114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3. Insertar algunos datos en la tabla ‘viviendas’. Pueden utilizarse las fotos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disponibles en la carpeta img. En tal caso se colocará el nombre de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la foto en el campo ‘foto’ de la tabla y se copiará el fichero a una carpeta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de nombre ‘fotos’ situada bajo la carpeta de la práctica. También deberá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copiarse en esta carpeta la imagen ‘ico-fichero.gif’ que se encuentra en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la carpeta img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5. Crear la página siguiendo el esquema explicado para la conexión a la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base de datos y la consulta a la tabla: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