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rPr>
          <w:color w:val="000000"/>
        </w:rPr>
      </w:pPr>
      <w:r>
        <w:rPr>
          <w:color w:val="000000"/>
        </w:rPr>
        <w:t xml:space="preserve">Informe interno de investigación</w:t>
      </w:r>
    </w:p>
    <w:p>
      <w:pPr>
        <w:rPr>
          <w:rFonts w:ascii="Georgia" w:cs="Georgia" w:eastAsia="Georgia" w:hAnsi="Georgia"/>
          <w:color w:val="002715"/>
        </w:rPr>
      </w:pPr>
      <w:r>
        <w:rPr>
          <w:rtl w:val="0"/>
        </w:rPr>
      </w:r>
    </w:p>
    <w:p>
      <w:pPr>
        <w:rPr>
          <w:rFonts w:ascii="Georgia" w:cs="Georgia" w:eastAsia="Georgia" w:hAnsi="Georgia"/>
          <w:color w:val="002715"/>
        </w:rPr>
      </w:pPr>
      <w:r>
        <w:rPr>
          <w:rtl w:val="0"/>
        </w:rPr>
      </w:r>
    </w:p>
    <w:p>
      <w:pPr>
        <w:rPr>
          <w:rFonts w:ascii="Georgia" w:cs="Georgia" w:eastAsia="Georgia" w:hAnsi="Georgia"/>
          <w:color w:val="002715"/>
        </w:rPr>
      </w:pPr>
      <w:r>
        <w:rPr>
          <w:rtl w:val="0"/>
        </w:rPr>
      </w:r>
    </w:p>
    <w:p>
      <w:pPr>
        <w:rPr>
          <w:rFonts w:ascii="Georgia" w:cs="Georgia" w:eastAsia="Georgia" w:hAnsi="Georgia"/>
          <w:color w:val="002715"/>
        </w:rPr>
      </w:pPr>
      <w:r>
        <w:rPr>
          <w:rtl w:val="0"/>
        </w:rPr>
      </w:r>
    </w:p>
    <w:p>
      <w:pPr>
        <w:pStyle w:val="Title"/>
        <w:rPr>
          <w:rFonts w:ascii="Georgia" w:cs="Georgia" w:eastAsia="Georgia" w:hAnsi="Georgia"/>
          <w:color w:val="000000"/>
        </w:rPr>
      </w:pPr>
      <w:r>
        <w:rPr>
          <w:rFonts w:ascii="Georgia" w:cs="Georgia" w:eastAsia="Georgia" w:hAnsi="Georgia"/>
          <w:color w:val="000000"/>
        </w:rPr>
        <w:t xml:space="preserve">Divulgación</w:t>
      </w:r>
    </w:p>
    <w:p>
      <w:pPr>
        <w:pStyle w:val="Title"/>
        <w:rPr>
          <w:rFonts w:ascii="Georgia" w:cs="Georgia" w:eastAsia="Georgia" w:hAnsi="Georgia"/>
          <w:color w:val="000000"/>
        </w:rPr>
      </w:pPr>
      <w:r>
        <w:rPr>
          <w:rFonts w:ascii="Georgia" w:cs="Georgia" w:eastAsia="Georgia" w:hAnsi="Georgia"/>
          <w:color w:val="000000"/>
        </w:rPr>
        <w:t xml:space="preserve">de Agua</w:t>
      </w:r>
    </w:p>
    <w:p>
      <w:pPr>
        <w:pStyle w:val="Heading3"/>
        <w:rPr>
          <w:color w:val="000000"/>
        </w:rPr>
      </w:pPr>
      <w:r>
        <w:rPr>
          <w:color w:val="000000"/>
        </w:rPr>
        <w:t xml:space="preserve">Estrategia de redes sociales</w:t>
      </w:r>
    </w:p>
    <w:p>
      <w:pPr>
        <w:pStyle w:val="Heading3"/>
        <w:rPr>
          <w:color w:val="000000"/>
        </w:rPr>
      </w:pPr>
      <w:r>
        <w:rPr>
          <w:rtl w:val="0"/>
          <w:color w:val="000000"/>
        </w:rPr>
      </w:r>
    </w:p>
    <w:p>
      <w:pPr>
        <w:pStyle w:val="Heading3"/>
        <w:rPr>
          <w:color w:val="000000"/>
        </w:rPr>
      </w:pPr>
      <w:r>
        <w:rPr>
          <w:rtl w:val="0"/>
          <w:color w:val="000000"/>
        </w:rPr>
      </w:r>
    </w:p>
    <w:p>
      <w:pPr>
        <w:pStyle w:val="Heading3"/>
        <w:rPr>
          <w:color w:val="000000"/>
        </w:rPr>
      </w:pPr>
      <w:r>
        <w:rPr>
          <w:rtl w:val="0"/>
          <w:color w:val="000000"/>
        </w:rPr>
      </w:r>
    </w:p>
    <w:p>
      <w:pPr>
        <w:spacing w:after="240" w:lineRule="auto"/>
        <w:jc w:val="center"/>
        <w:rPr>
          <w:rFonts w:ascii="Georgia" w:cs="Georgia" w:eastAsia="Georgia" w:hAnsi="Georgia"/>
        </w:rPr>
      </w:pPr>
      <w:r>
        <w:rPr>
          <w:rFonts w:ascii="Georgia" w:cs="Georgia" w:eastAsia="Georgia" w:hAnsi="Georgia"/>
        </w:rPr>
        <w:t xml:space="preserve">Propuesta para comunicar la investigación del agua y el saneamiento en el Área Metropolitana de Guadalajara.</w:t>
      </w:r>
    </w:p>
    <w:p>
      <w:pPr>
        <w:rPr>
          <w:color w:val="002715"/>
        </w:rPr>
      </w:pPr>
      <w:r>
        <w:rPr>
          <w:rtl w:val="0"/>
        </w:rPr>
      </w:r>
    </w:p>
    <w:p>
      <w:pPr>
        <w:spacing w:after="240" w:lineRule="auto"/>
        <w:jc w:val="center"/>
        <w:rPr>
          <w:rFonts w:ascii="Georgia" w:cs="Georgia" w:eastAsia="Georgia" w:hAnsi="Georgia"/>
        </w:rPr>
      </w:pPr>
      <w:r>
        <w:rPr>
          <w:rFonts w:ascii="Georgia" w:cs="Georgia" w:eastAsia="Georgia" w:hAnsi="Georgia"/>
        </w:rPr>
        <w:t xml:space="preserve">Recomendamos partir de preguntas cotidianas, mostrar evidencia verificable y conducir al público hacia las causas y sus expedientes.</w:t>
      </w:r>
    </w:p>
    <w:p>
      <w:pPr>
        <w:rPr>
          <w:color w:val="002715"/>
        </w:rPr>
      </w:pPr>
      <w:r>
        <w:rPr>
          <w:rtl w:val="0"/>
        </w:rPr>
      </w:r>
    </w:p>
    <w:p>
      <w:pPr>
        <w:rPr>
          <w:color w:val="434343"/>
        </w:rPr>
      </w:pPr>
      <w:r>
        <w:rPr>
          <w:rtl w:val="0"/>
        </w:rPr>
      </w:r>
    </w:p>
    <w:p>
      <w:pPr>
        <w:pStyle w:val="Heading3"/>
        <w:rPr>
          <w:color w:val="000000"/>
        </w:rPr>
      </w:pPr>
      <w:r>
        <w:rPr>
          <w:color w:val="000000"/>
        </w:rPr>
        <w:t xml:space="preserve">Para el equipo de Agua</w:t>
      </w:r>
    </w:p>
    <w:p>
      <w:pPr>
        <w:pStyle w:val="Heading3"/>
        <w:rPr>
          <w:color w:val="000000"/>
        </w:rPr>
      </w:pPr>
      <w:r>
        <w:rPr>
          <w:color w:val="000000"/>
        </w:rPr>
        <w:t xml:space="preserve">8 de septiembre de 2026</w:t>
      </w:r>
    </w:p>
    <w:p>
      <w:pPr>
        <w:pStyle w:val="Heading3"/>
        <w:rPr>
          <w:color w:val="000000"/>
        </w:rPr>
      </w:pPr>
      <w:r>
        <w:br w:type="page"/>
      </w:r>
      <w:r>
        <w:rPr>
          <w:rtl w:val="0"/>
          <w:color w:val="000000"/>
        </w:rPr>
      </w:r>
    </w:p>
    <w:p>
      <w:pPr>
        <w:pStyle w:val="Heading1"/>
        <w:rPr>
          <w:color w:val="000000"/>
        </w:rPr>
      </w:pPr>
      <w:r>
        <w:rPr>
          <w:color w:val="000000"/>
        </w:rPr>
        <w:t xml:space="preserve">Recomendación para el equipo</w:t>
      </w:r>
    </w:p>
    <w:p>
      <w:pPr>
        <w:spacing w:after="240" w:lineRule="auto"/>
        <w:jc w:val="both"/>
        <w:rPr>
          <w:rFonts w:ascii="Georgia" w:cs="Georgia" w:eastAsia="Georgia" w:hAnsi="Georgia"/>
        </w:rPr>
      </w:pPr>
      <w:r>
        <w:rPr>
          <w:rFonts w:ascii="Georgia" w:cs="Georgia" w:eastAsia="Georgia" w:hAnsi="Georgia"/>
        </w:rPr>
        <w:t xml:space="preserve">Proponemos divulgar Agua mediante series que conecten una experiencia cotidiana con una evidencia verificable y, después, con la cadena de causas que investigamos. Las primeras entradas serían el gasto del hogar, las horas de suministro y la lectura de resultados de calidad. Su prioridad es editorial: son preguntas concretas que podemos explicar y contrastar. No es una clasificación de gravedad de los diez árboles.</w:t>
      </w:r>
    </w:p>
    <w:p>
      <w:pPr>
        <w:spacing w:after="240" w:lineRule="auto"/>
        <w:jc w:val="both"/>
        <w:rPr>
          <w:rFonts w:ascii="Georgia" w:cs="Georgia" w:eastAsia="Georgia" w:hAnsi="Georgia"/>
        </w:rPr>
      </w:pPr>
      <w:r>
        <w:rPr>
          <w:rFonts w:ascii="Georgia" w:cs="Georgia" w:eastAsia="Georgia" w:hAnsi="Georgia"/>
        </w:rPr>
        <w:t xml:space="preserve">El objetivo es que los hallazgos lleguen a muchas personas y puedan ser entendidos, comprobados y retomados por comunidades, periodistas e investigadores. Cada publicación breve debe conducir a un expediente público con fuentes, método, alcance y actualizaciones. Una pieza que circula mucho pero deforma el hallazgo no cumple ese objetivo.</w:t>
      </w:r>
    </w:p>
    <w:p>
      <w:pPr>
        <w:spacing w:after="240" w:lineRule="auto"/>
        <w:jc w:val="both"/>
        <w:rPr>
          <w:rFonts w:ascii="Georgia" w:cs="Georgia" w:eastAsia="Georgia" w:hAnsi="Georgia"/>
        </w:rPr>
      </w:pPr>
      <w:r>
        <w:rPr>
          <w:rFonts w:ascii="Georgia" w:cs="Georgia" w:eastAsia="Georgia" w:hAnsi="Georgia"/>
        </w:rPr>
        <w:t xml:space="preserve">La revisión del repositorio muestra diez árboles, 57 fichas y 30 indicadores. El diagnóstico sigue en revisión; el README no atribuye validación formal al Consejo y las fichas de indicadores no incorporan línea base. Este informe prepara una estrategia y un piloto; no presenta como demostradas las hipótesis del diagnóstico ni reporta resultados de una campaña realizada. [I1–I4]</w:t>
      </w:r>
    </w:p>
    <w:p>
      <w:pPr>
        <w:spacing w:after="240" w:lineRule="auto"/>
        <w:jc w:val="both"/>
        <w:rPr>
          <w:rFonts w:ascii="Georgia" w:cs="Georgia" w:eastAsia="Georgia" w:hAnsi="Georgia"/>
        </w:rPr>
      </w:pPr>
      <w:r>
        <w:rPr>
          <w:rFonts w:ascii="Georgia" w:cs="Georgia" w:eastAsia="Georgia" w:hAnsi="Georgia"/>
        </w:rPr>
        <w:t xml:space="preserve">Conviene trabajar en dos momentos. Mientras reunimos evidencia, podemos preparar guiones, explicar el método y probar materiales educativos. Cuando una afirmación tenga respaldo suficiente y revisión de su interpretación, publicaremos el hallazgo con su expediente. La salida de un hallazgo acotado no exige declarar cerrado todo el diagnóstico.</w:t>
      </w:r>
    </w:p>
    <w:p>
      <w:pPr>
        <w:spacing w:after="240" w:lineRule="auto"/>
        <w:jc w:val="both"/>
        <w:rPr>
          <w:rFonts w:ascii="Georgia" w:cs="Georgia" w:eastAsia="Georgia" w:hAnsi="Georgia"/>
        </w:rPr>
      </w:pPr>
      <w:r>
        <w:rPr>
          <w:rFonts w:ascii="Georgia" w:cs="Georgia" w:eastAsia="Georgia" w:hAnsi="Georgia"/>
        </w:rPr>
        <w:t xml:space="preserve">La propuesta supone un equipo pequeño, difusión orgánica y cuentas aún por evaluar. No se dispuso de estadísticas de audiencia, presupuesto ni capacidad de producción. Por eso las duraciones, cantidades y prioridades de este documento son decisiones iniciales a probar, no pronósticos de alcance.</w:t>
      </w:r>
    </w:p>
    <w:p>
      <w:pPr>
        <w:pStyle w:val="Heading1"/>
        <w:rPr>
          <w:color w:val="000000"/>
        </w:rPr>
        <w:pageBreakBefore w:val="1"/>
      </w:pPr>
      <w:r>
        <w:rPr>
          <w:color w:val="000000"/>
        </w:rPr>
        <w:t xml:space="preserve">El método de Agua aplicado a redes</w:t>
      </w:r>
    </w:p>
    <w:p>
      <w:pPr>
        <w:spacing w:after="240" w:lineRule="auto"/>
        <w:jc w:val="both"/>
        <w:rPr>
          <w:rFonts w:ascii="Georgia" w:cs="Georgia" w:eastAsia="Georgia" w:hAnsi="Georgia"/>
        </w:rPr>
      </w:pPr>
      <w:r>
        <w:rPr>
          <w:rFonts w:ascii="Georgia" w:cs="Georgia" w:eastAsia="Georgia" w:hAnsi="Georgia"/>
        </w:rPr>
        <w:t xml:space="preserve">Conservamos la estructura del proyecto: quién padece una condición, por qué ocurre, de qué depende, qué produce, cómo se mide y quién interviene o tiene atribuciones para resolver. El centro sigue siendo el efecto sobre habitantes del Área Metropolitana de Guadalajara, cuenca y erario. Las fallas de medición y fiscalización pertenecen a la explicación de fondo del modelo, todavía sujeta a contraste. [I1–I3]</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700"/>
        <w:gridCol w:w="6650"/>
      </w:tblGrid>
      <w:tr>
        <w:trPr>
          <w:cantSplit w:val="1"/>
          <w:tblHeader w:val="1"/>
        </w:trPr>
        <w:tc>
          <w:tcPr>
            <w:shd w:fill="F3F3F3" w:val="clear"/>
            <w:vAlign w:val="center"/>
            <w:tcW w:w="27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Regla del modelo</w:t>
            </w:r>
          </w:p>
        </w:tc>
        <w:tc>
          <w:tcPr>
            <w:shd w:fill="F3F3F3" w:val="clear"/>
            <w:vAlign w:val="center"/>
            <w:tcW w:w="66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Aplicación en cada contenido</w:t>
            </w:r>
          </w:p>
        </w:tc>
      </w:tr>
      <w:tr>
        <w:trPr>
          <w:cantSplit w:val="1"/>
        </w:trPr>
        <w:tc>
          <w:tcPr>
            <w:vAlign w:val="center"/>
            <w:tcW w:w="27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Recorrer causas y efectos</w:t>
            </w:r>
          </w:p>
        </w:tc>
        <w:tc>
          <w:tcPr>
            <w:vAlign w:val="center"/>
            <w:tcW w:w="6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La ficha interna debe responder por qué ocurre la condición y qué produce. La pieza puede explicar solo un tramo de esa cadena.</w:t>
            </w:r>
          </w:p>
        </w:tc>
      </w:tr>
      <w:tr>
        <w:trPr>
          <w:cantSplit w:val="1"/>
        </w:trPr>
        <w:tc>
          <w:tcPr>
            <w:vAlign w:val="center"/>
            <w:tcW w:w="27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Describir condiciones existentes</w:t>
            </w:r>
          </w:p>
        </w:tc>
        <w:tc>
          <w:tcPr>
            <w:vAlign w:val="center"/>
            <w:tcW w:w="6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Sustituir fórmulas como «falta conciencia» por una condición observada y documentada. Si aún no la conocemos, formular una pregunta.</w:t>
            </w:r>
          </w:p>
        </w:tc>
      </w:tr>
      <w:tr>
        <w:trPr>
          <w:cantSplit w:val="1"/>
        </w:trPr>
        <w:tc>
          <w:tcPr>
            <w:vAlign w:val="center"/>
            <w:tcW w:w="27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Separar condiciones y actores</w:t>
            </w:r>
          </w:p>
        </w:tc>
        <w:tc>
          <w:tcPr>
            <w:vAlign w:val="center"/>
            <w:tcW w:w="6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El nombre de una institución no explica un mecanismo. Distinguir atribución institucional, conducta documentada e interpretación.</w:t>
            </w:r>
          </w:p>
        </w:tc>
      </w:tr>
      <w:tr>
        <w:trPr>
          <w:cantSplit w:val="1"/>
        </w:trPr>
        <w:tc>
          <w:tcPr>
            <w:vAlign w:val="center"/>
            <w:tcW w:w="27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Distinguir causa y medición</w:t>
            </w:r>
          </w:p>
        </w:tc>
        <w:tc>
          <w:tcPr>
            <w:vAlign w:val="center"/>
            <w:tcW w:w="6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Un porcentaje dimensiona una condición; por sí solo no demuestra su causa. Un conteo de documentos tampoco mide gravedad.</w:t>
            </w:r>
          </w:p>
        </w:tc>
      </w:tr>
    </w:tbl>
    <w:p>
      <w:pPr>
        <w:spacing w:after="240" w:lineRule="auto"/>
        <w:jc w:val="both"/>
        <w:rPr>
          <w:rFonts w:ascii="Georgia" w:cs="Georgia" w:eastAsia="Georgia" w:hAnsi="Georgia"/>
        </w:rPr>
      </w:pPr>
      <w:r>
        <w:rPr>
          <w:rFonts w:ascii="Georgia" w:cs="Georgia" w:eastAsia="Georgia" w:hAnsi="Georgia"/>
        </w:rPr>
        <w:t xml:space="preserve">Las cinco capas se conservan en la ficha de producción: ciclo hidrosocial, macroprocesos, actores, factores y dimensiones de análisis. Sirven para comprobar que la explicación relaciona agua, sociedad y territorio. No es necesario mostrar esas etiquetas al público. [I2]</w:t>
      </w:r>
    </w:p>
    <w:p>
      <w:pPr>
        <w:spacing w:after="240" w:lineRule="auto"/>
        <w:jc w:val="both"/>
        <w:rPr>
          <w:rFonts w:ascii="Georgia" w:cs="Georgia" w:eastAsia="Georgia" w:hAnsi="Georgia"/>
        </w:rPr>
      </w:pPr>
      <w:r>
        <w:rPr>
          <w:rFonts w:ascii="Georgia" w:cs="Georgia" w:eastAsia="Georgia" w:hAnsi="Georgia"/>
        </w:rPr>
        <w:t xml:space="preserve">Las conexiones entre árboles se registran como bisagras o supuestos. Un gasto por pipa puede vincular E10 con E2, pero no se cuenta como dos observaciones independientes. Del mismo modo, diez publicaciones basadas en un estudio siguen dependiendo de ese único estudio. [I2–I3]</w:t>
      </w:r>
    </w:p>
    <w:p>
      <w:pPr>
        <w:pStyle w:val="Heading1"/>
        <w:rPr>
          <w:color w:val="000000"/>
        </w:rPr>
        <w:pageBreakBefore w:val="1"/>
      </w:pPr>
      <w:r>
        <w:rPr>
          <w:color w:val="000000"/>
        </w:rPr>
        <w:t xml:space="preserve">Hipótesis sobre el problema de comunicación</w:t>
      </w:r>
    </w:p>
    <w:p>
      <w:pPr>
        <w:spacing w:after="240" w:lineRule="auto"/>
        <w:jc w:val="both"/>
        <w:rPr>
          <w:rFonts w:ascii="Georgia" w:cs="Georgia" w:eastAsia="Georgia" w:hAnsi="Georgia"/>
        </w:rPr>
      </w:pPr>
      <w:r>
        <w:rPr>
          <w:rFonts w:ascii="Georgia" w:cs="Georgia" w:eastAsia="Georgia" w:hAnsi="Georgia"/>
        </w:rPr>
        <w:t xml:space="preserve">Problema propuesto para contrastar: las personas a quienes podría servir la investigación encuentran dificultades para descubrirla, entender sus conclusiones y volver a sus fuentes. Todavía no hemos medido esa dificultad en nuestra audiencia. E9 ofrece una conexión conceptual con la comprensión y la exigencia pública; no demuestra por sí mismo el comportamiento de los usuarios de redes. [I5]</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00"/>
        <w:gridCol w:w="3600"/>
        <w:gridCol w:w="3350"/>
      </w:tblGrid>
      <w:tr>
        <w:trPr>
          <w:cantSplit w:val="1"/>
          <w:tblHeader w:val="1"/>
        </w:trPr>
        <w:tc>
          <w:tcPr>
            <w:shd w:fill="F3F3F3" w:val="clear"/>
            <w:vAlign w:val="center"/>
            <w:tcW w:w="24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Condición hipotética</w:t>
            </w:r>
          </w:p>
        </w:tc>
        <w:tc>
          <w:tcPr>
            <w:shd w:fill="F3F3F3" w:val="clear"/>
            <w:vAlign w:val="center"/>
            <w:tcW w:w="36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Mecanismo y efecto esperado</w:t>
            </w:r>
          </w:p>
        </w:tc>
        <w:tc>
          <w:tcPr>
            <w:shd w:fill="F3F3F3" w:val="clear"/>
            <w:vAlign w:val="center"/>
            <w:tcW w:w="33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Cómo contrastarla</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Lenguaje y mapas demasiado densos</w:t>
            </w:r>
          </w:p>
        </w:tc>
        <w:tc>
          <w:tcPr>
            <w:vAlign w:val="center"/>
            <w:tcW w:w="36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El lector no identifica qué cambió en su vida ni puede explicar la conclusión.</w:t>
            </w:r>
          </w:p>
        </w:tc>
        <w:tc>
          <w:tcPr>
            <w:vAlign w:val="center"/>
            <w:tcW w:w="33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Mostrar una pieza y pedir que la explique con sus propias palabras.</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Afirmación y fuente aparecen separadas</w:t>
            </w:r>
          </w:p>
        </w:tc>
        <w:tc>
          <w:tcPr>
            <w:vAlign w:val="center"/>
            <w:tcW w:w="36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La captura circula sin contexto; cuesta comprobar fecha, lugar y alcance.</w:t>
            </w:r>
          </w:p>
        </w:tc>
        <w:tc>
          <w:tcPr>
            <w:vAlign w:val="center"/>
            <w:tcW w:w="33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Pedir que una persona localice la fuente desde el contenido.</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Publicación aislada y sin seguimiento</w:t>
            </w:r>
          </w:p>
        </w:tc>
        <w:tc>
          <w:tcPr>
            <w:vAlign w:val="center"/>
            <w:tcW w:w="36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La atención se concentra en el episodio y se pierde la evolución del expediente.</w:t>
            </w:r>
          </w:p>
        </w:tc>
        <w:tc>
          <w:tcPr>
            <w:vAlign w:val="center"/>
            <w:tcW w:w="33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Registrar consultas y preguntas que regresan en semanas posteriores.</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Entrada editorial poco cercana</w:t>
            </w:r>
          </w:p>
        </w:tc>
        <w:tc>
          <w:tcPr>
            <w:vAlign w:val="center"/>
            <w:tcW w:w="36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El público abandona antes de reconocer la pregunta relevante.</w:t>
            </w:r>
          </w:p>
        </w:tc>
        <w:tc>
          <w:tcPr>
            <w:vAlign w:val="center"/>
            <w:tcW w:w="33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Comparar dos aperturas del mismo tema manteniendo la evidencia.</w:t>
            </w:r>
          </w:p>
        </w:tc>
      </w:tr>
    </w:tbl>
    <w:p>
      <w:pPr>
        <w:spacing w:after="240" w:lineRule="auto"/>
        <w:jc w:val="both"/>
        <w:rPr>
          <w:rFonts w:ascii="Georgia" w:cs="Georgia" w:eastAsia="Georgia" w:hAnsi="Georgia"/>
        </w:rPr>
      </w:pPr>
      <w:r>
        <w:rPr>
          <w:rFonts w:ascii="Georgia" w:cs="Georgia" w:eastAsia="Georgia" w:hAnsi="Georgia"/>
        </w:rPr>
        <w:t xml:space="preserve">Si estas condiciones se confirman, podrían producir comprensión fragmentada, pocas consultas a las fuentes y menor continuidad de participación. Las causas alternativas incluyen poco alcance inicial, desinterés por el tema o un enlace difícil de usar. El piloto debe permitir distinguirlas, sin responsabilizar de antemano a «la gente» o al algoritmo.</w:t>
      </w:r>
    </w:p>
    <w:p>
      <w:pPr>
        <w:spacing w:after="240" w:lineRule="auto"/>
        <w:jc w:val="both"/>
        <w:rPr>
          <w:rFonts w:ascii="Georgia" w:cs="Georgia" w:eastAsia="Georgia" w:hAnsi="Georgia"/>
        </w:rPr>
      </w:pPr>
      <w:r>
        <w:rPr>
          <w:rFonts w:ascii="Georgia" w:cs="Georgia" w:eastAsia="Georgia" w:hAnsi="Georgia"/>
        </w:rPr>
        <w:t xml:space="preserve">El equipo puede intervenir en redacción, formatos, accesibilidad y seguimiento. Depende externamente de la distribución de las plataformas, del acceso a documentación y de colaboraciones voluntarias. Esa separación evita prometer resultados que no controlamos.</w:t>
      </w:r>
    </w:p>
    <w:p>
      <w:pPr>
        <w:pStyle w:val="Heading1"/>
        <w:rPr>
          <w:color w:val="000000"/>
        </w:rPr>
        <w:pageBreakBefore w:val="1"/>
      </w:pPr>
      <w:r>
        <w:rPr>
          <w:color w:val="000000"/>
        </w:rPr>
        <w:t xml:space="preserve">Qué sustenta las decisiones editoriales</w:t>
      </w:r>
    </w:p>
    <w:p>
      <w:pPr>
        <w:spacing w:after="240" w:lineRule="auto"/>
        <w:jc w:val="both"/>
        <w:rPr>
          <w:rFonts w:ascii="Georgia" w:cs="Georgia" w:eastAsia="Georgia" w:hAnsi="Georgia"/>
        </w:rPr>
      </w:pPr>
      <w:r>
        <w:rPr>
          <w:rFonts w:ascii="Georgia" w:cs="Georgia" w:eastAsia="Georgia" w:hAnsi="Georgia"/>
        </w:rPr>
        <w:t xml:space="preserve">El diseño debe funcionar primero en celular. INEGI estimó que en 2025 usó internet el 86.1 % de la población mexicana de seis años y más; entre las personas usuarias, el 97.3 % se conectó mediante smartphone. Estos datos nacionales justifican legibilidad y navegación móvil, pero no estiman el público de Agua ni la audiencia de una red en Guadalajara. [S1]</w:t>
      </w:r>
    </w:p>
    <w:p>
      <w:pPr>
        <w:spacing w:after="240" w:lineRule="auto"/>
        <w:jc w:val="both"/>
        <w:rPr>
          <w:rFonts w:ascii="Georgia" w:cs="Georgia" w:eastAsia="Georgia" w:hAnsi="Georgia"/>
        </w:rPr>
      </w:pPr>
      <w:r>
        <w:rPr>
          <w:rFonts w:ascii="Georgia" w:cs="Georgia" w:eastAsia="Georgia" w:hAnsi="Georgia"/>
        </w:rPr>
        <w:t xml:space="preserve">YouTube explica que la recomendación de Shorts considera señales como elección de ver, duración media, porcentaje visto y satisfacción. También influyen el interés por el tema y la competencia. No prescribe una cadencia mínima. Proponemos videos de 30 a 60 segundos como punto de partida de producción, sin atribuir esa duración a una fórmula del algoritmo. [S2]</w:t>
      </w:r>
    </w:p>
    <w:p>
      <w:pPr>
        <w:spacing w:after="240" w:lineRule="auto"/>
        <w:jc w:val="both"/>
        <w:rPr>
          <w:rFonts w:ascii="Georgia" w:cs="Georgia" w:eastAsia="Georgia" w:hAnsi="Georgia"/>
        </w:rPr>
      </w:pPr>
      <w:r>
        <w:rPr>
          <w:rFonts w:ascii="Georgia" w:cs="Georgia" w:eastAsia="Georgia" w:hAnsi="Georgia"/>
        </w:rPr>
        <w:t xml:space="preserve">Meta anunció en 2024 medidas para favorecer el reconocimiento de contenido original en recomendaciones de Instagram. Eso apoya producir narraciones y visuales propios, con archivos limpios para cada plataforma. El anuncio no demuestra que un carrusel supere a un Reel en 2026. TikTok describe recomendaciones personalizadas con múltiples señales y pesos variables, sin una receta pública universal. [S3–S4]</w:t>
      </w:r>
    </w:p>
    <w:p>
      <w:pPr>
        <w:spacing w:after="240" w:lineRule="auto"/>
        <w:jc w:val="both"/>
        <w:rPr>
          <w:rFonts w:ascii="Georgia" w:cs="Georgia" w:eastAsia="Georgia" w:hAnsi="Georgia"/>
        </w:rPr>
      </w:pPr>
      <w:r>
        <w:rPr>
          <w:rFonts w:ascii="Georgia" w:cs="Georgia" w:eastAsia="Georgia" w:hAnsi="Georgia"/>
        </w:rPr>
        <w:t xml:space="preserve">Berger y Milkman relacionaron utilidad, interés y sorpresa con difusión de artículos en línea. El estudio fue publicado en 2012 y no predice el desempeño actual en Jalisco. Nuestra aplicación consiste en ofrecer descubrimientos verificables y herramientas útiles: entender un recibo, un registro o una explicación. La emoción debe surgir del hecho documentado y del relato humano. [S5]</w:t>
      </w:r>
    </w:p>
    <w:p>
      <w:pPr>
        <w:spacing w:after="240" w:lineRule="auto"/>
        <w:jc w:val="both"/>
        <w:rPr>
          <w:rFonts w:ascii="Georgia" w:cs="Georgia" w:eastAsia="Georgia" w:hAnsi="Georgia"/>
        </w:rPr>
      </w:pPr>
      <w:r>
        <w:rPr>
          <w:rFonts w:ascii="Georgia" w:cs="Georgia" w:eastAsia="Georgia" w:hAnsi="Georgia"/>
        </w:rPr>
        <w:t xml:space="preserve">Pennycook y colaboradores encontraron que orientar la atención hacia la exactitud puede mejorar la calidad de noticias compartidas. Añadir fuente, fecha y alcance es una aplicación editorial nuestra, no una intervención específica validada para Agua. Las seis fuentes revisadas orientan hipótesis; ninguna permite garantizar viralidad. [S6]</w:t>
      </w:r>
    </w:p>
    <w:p>
      <w:pPr>
        <w:pStyle w:val="Heading1"/>
        <w:rPr>
          <w:color w:val="000000"/>
        </w:rPr>
        <w:pageBreakBefore w:val="1"/>
      </w:pPr>
      <w:r>
        <w:rPr>
          <w:color w:val="000000"/>
        </w:rPr>
        <w:t xml:space="preserve">Públicos y función de cada canal</w:t>
      </w:r>
    </w:p>
    <w:p>
      <w:pPr>
        <w:spacing w:after="240" w:lineRule="auto"/>
        <w:jc w:val="both"/>
        <w:rPr>
          <w:rFonts w:ascii="Georgia" w:cs="Georgia" w:eastAsia="Georgia" w:hAnsi="Georgia"/>
        </w:rPr>
      </w:pPr>
      <w:r>
        <w:rPr>
          <w:rFonts w:ascii="Georgia" w:cs="Georgia" w:eastAsia="Georgia" w:hAnsi="Georgia"/>
        </w:rPr>
        <w:t xml:space="preserve">El primer público son las personas del AMG y las comunidades relacionadas con la cuenca que quieran entender el servicio y sus costos. La expansión nacional e internacional deberá explicar dónde ocurre el caso, a quién representa la evidencia y por qué puede interesar fuera de la región. Son públicos de trabajo por validar, sin segmentación basada en perfiles personales sensibles.</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00"/>
        <w:gridCol w:w="4650"/>
        <w:gridCol w:w="2800"/>
      </w:tblGrid>
      <w:tr>
        <w:trPr>
          <w:cantSplit w:val="1"/>
          <w:tblHeader w:val="1"/>
        </w:trPr>
        <w:tc>
          <w:tcPr>
            <w:shd w:fill="F3F3F3" w:val="clear"/>
            <w:vAlign w:val="center"/>
            <w:tcW w:w="19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Canal propuesto</w:t>
            </w:r>
          </w:p>
        </w:tc>
        <w:tc>
          <w:tcPr>
            <w:shd w:fill="F3F3F3" w:val="clear"/>
            <w:vAlign w:val="center"/>
            <w:tcW w:w="46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Papel y formato</w:t>
            </w:r>
          </w:p>
        </w:tc>
        <w:tc>
          <w:tcPr>
            <w:shd w:fill="F3F3F3" w:val="clear"/>
            <w:vAlign w:val="center"/>
            <w:tcW w:w="28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Señal a observar</w:t>
            </w:r>
          </w:p>
        </w:tc>
      </w:tr>
      <w:tr>
        <w:trPr>
          <w:cantSplit w:val="1"/>
        </w:trPr>
        <w:tc>
          <w:tcPr>
            <w:vAlign w:val="center"/>
            <w:tcW w:w="19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Instagram</w:t>
            </w:r>
          </w:p>
        </w:tc>
        <w:tc>
          <w:tcPr>
            <w:vAlign w:val="center"/>
            <w:tcW w:w="4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Reels para descubrir una pregunta; carruseles para leer documentos, comparar y guardar.</w:t>
            </w:r>
          </w:p>
        </w:tc>
        <w:tc>
          <w:tcPr>
            <w:vAlign w:val="center"/>
            <w:tcW w:w="28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Retención cuando esté disponible, guardados y compartidos por alcance.</w:t>
            </w:r>
          </w:p>
        </w:tc>
      </w:tr>
      <w:tr>
        <w:trPr>
          <w:cantSplit w:val="1"/>
        </w:trPr>
        <w:tc>
          <w:tcPr>
            <w:vAlign w:val="center"/>
            <w:tcW w:w="19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YouTube</w:t>
            </w:r>
          </w:p>
        </w:tc>
        <w:tc>
          <w:tcPr>
            <w:vAlign w:val="center"/>
            <w:tcW w:w="4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Shorts para descubrimiento y videos de 6 a 10 minutos para explicar método, cadena y límites.</w:t>
            </w:r>
          </w:p>
        </w:tc>
        <w:tc>
          <w:tcPr>
            <w:vAlign w:val="center"/>
            <w:tcW w:w="28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Tiempo visto, preguntas pertinentes y consultas al expediente.</w:t>
            </w:r>
          </w:p>
        </w:tc>
      </w:tr>
      <w:tr>
        <w:trPr>
          <w:cantSplit w:val="1"/>
        </w:trPr>
        <w:tc>
          <w:tcPr>
            <w:vAlign w:val="center"/>
            <w:tcW w:w="19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TikTok</w:t>
            </w:r>
          </w:p>
        </w:tc>
        <w:tc>
          <w:tcPr>
            <w:vAlign w:val="center"/>
            <w:tcW w:w="4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Probar versiones de una pregunta con narración directa y material propio si el equipo puede atender la conversación.</w:t>
            </w:r>
          </w:p>
        </w:tc>
        <w:tc>
          <w:tcPr>
            <w:vAlign w:val="center"/>
            <w:tcW w:w="28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Retención y calidad de las preguntas; comparar dentro de esta red.</w:t>
            </w:r>
          </w:p>
        </w:tc>
      </w:tr>
      <w:tr>
        <w:trPr>
          <w:cantSplit w:val="1"/>
        </w:trPr>
        <w:tc>
          <w:tcPr>
            <w:vAlign w:val="center"/>
            <w:tcW w:w="19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Facebook y WhatsApp</w:t>
            </w:r>
          </w:p>
        </w:tc>
        <w:tc>
          <w:tcPr>
            <w:vAlign w:val="center"/>
            <w:tcW w:w="4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Adaptar piezas para comunidades que elijan recibirlas. Tarjeta legible con fecha y enlace; audio breve acompañado de texto.</w:t>
            </w:r>
          </w:p>
        </w:tc>
        <w:tc>
          <w:tcPr>
            <w:vAlign w:val="center"/>
            <w:tcW w:w="28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Accesos identificables y dudas recibidas; los reenvíos privados no son plenamente medibles.</w:t>
            </w:r>
          </w:p>
        </w:tc>
      </w:tr>
      <w:tr>
        <w:trPr>
          <w:cantSplit w:val="1"/>
        </w:trPr>
        <w:tc>
          <w:tcPr>
            <w:vAlign w:val="center"/>
            <w:tcW w:w="19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X y LinkedIn</w:t>
            </w:r>
          </w:p>
        </w:tc>
        <w:tc>
          <w:tcPr>
            <w:vAlign w:val="center"/>
            <w:tcW w:w="4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Uso complementario para explicar un hallazgo a periodistas, investigadores y organizaciones.</w:t>
            </w:r>
          </w:p>
        </w:tc>
        <w:tc>
          <w:tcPr>
            <w:vAlign w:val="center"/>
            <w:tcW w:w="28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Citas con fuente, solicitudes pertinentes y colaboraciones concretadas.</w:t>
            </w:r>
          </w:p>
        </w:tc>
      </w:tr>
      <w:tr>
        <w:trPr>
          <w:cantSplit w:val="1"/>
        </w:trPr>
        <w:tc>
          <w:tcPr>
            <w:vAlign w:val="center"/>
            <w:tcW w:w="19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Expediente público</w:t>
            </w:r>
          </w:p>
        </w:tc>
        <w:tc>
          <w:tcPr>
            <w:vAlign w:val="center"/>
            <w:tcW w:w="46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Destino estable de toda serie: resumen, documentos, método, límites, versión y correcciones.</w:t>
            </w:r>
          </w:p>
        </w:tc>
        <w:tc>
          <w:tcPr>
            <w:vAlign w:val="center"/>
            <w:tcW w:w="28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Accesos a documentos y aportaciones que puedan revisarse.</w:t>
            </w:r>
          </w:p>
        </w:tc>
      </w:tr>
    </w:tbl>
    <w:p>
      <w:pPr>
        <w:spacing w:after="240" w:lineRule="auto"/>
        <w:jc w:val="both"/>
        <w:rPr>
          <w:rFonts w:ascii="Georgia" w:cs="Georgia" w:eastAsia="Georgia" w:hAnsi="Georgia"/>
        </w:rPr>
      </w:pPr>
      <w:r>
        <w:rPr>
          <w:rFonts w:ascii="Georgia" w:cs="Georgia" w:eastAsia="Georgia" w:hAnsi="Georgia"/>
        </w:rPr>
        <w:t xml:space="preserve">Para comenzar, proponemos Instagram y YouTube como canales principales, más distribución comunitaria acordada. Abrir todas las redes aumentaría la carga de adaptación y respuesta. TikTok y los canales especializados se incorporarán según capacidad y evidencia de interés. Esta elección es una propuesta operativa; no un ranking de popularidad de las plataformas.</w:t>
      </w:r>
    </w:p>
    <w:p>
      <w:pPr>
        <w:pStyle w:val="Heading1"/>
        <w:rPr>
          <w:color w:val="000000"/>
        </w:rPr>
        <w:pageBreakBefore w:val="1"/>
      </w:pPr>
      <w:r>
        <w:rPr>
          <w:color w:val="000000"/>
        </w:rPr>
        <w:t xml:space="preserve">Formatos con potencial para compartir</w:t>
      </w:r>
    </w:p>
    <w:p>
      <w:pPr>
        <w:spacing w:after="240" w:lineRule="auto"/>
        <w:jc w:val="both"/>
        <w:rPr>
          <w:rFonts w:ascii="Georgia" w:cs="Georgia" w:eastAsia="Georgia" w:hAnsi="Georgia"/>
        </w:rPr>
      </w:pPr>
      <w:r>
        <w:rPr>
          <w:rFonts w:ascii="Georgia" w:cs="Georgia" w:eastAsia="Georgia" w:hAnsi="Georgia"/>
        </w:rPr>
        <w:t xml:space="preserve">Los formatos prioritarios combinan cercanía, utilidad o descubrimiento con una prueba que pueda consultarse. Su potencial es una hipótesis editorial. Las duraciones y extensiones siguientes son parámetros del piloto.</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00"/>
        <w:gridCol w:w="6250"/>
      </w:tblGrid>
      <w:tr>
        <w:trPr>
          <w:cantSplit w:val="1"/>
          <w:tblHeader w:val="1"/>
        </w:trPr>
        <w:tc>
          <w:tcPr>
            <w:shd w:fill="F3F3F3" w:val="clear"/>
            <w:vAlign w:val="center"/>
            <w:tcW w:w="31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Serie y formato</w:t>
            </w:r>
          </w:p>
        </w:tc>
        <w:tc>
          <w:tcPr>
            <w:shd w:fill="F3F3F3" w:val="clear"/>
            <w:vAlign w:val="center"/>
            <w:tcW w:w="62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Por qué podría interesar y qué necesita</w:t>
            </w:r>
          </w:p>
        </w:tc>
      </w:tr>
      <w:tr>
        <w:trPr>
          <w:cantSplit w:val="1"/>
        </w:trPr>
        <w:tc>
          <w:tcPr>
            <w:vAlign w:val="center"/>
            <w:tcW w:w="31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La cuenta completa del agua
Video de 30 a 60 segundos</w:t>
            </w:r>
          </w:p>
        </w:tc>
        <w:tc>
          <w:tcPr>
            <w:vAlign w:val="center"/>
            <w:tcW w:w="62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Hace visible una suma doméstica. Necesita comprobantes del mismo periodo y conceptos separados. Se mide si el público entiende qué se sumó y qué queda fuera.</w:t>
            </w:r>
          </w:p>
        </w:tc>
      </w:tr>
      <w:tr>
        <w:trPr>
          <w:cantSplit w:val="1"/>
        </w:trPr>
        <w:tc>
          <w:tcPr>
            <w:vAlign w:val="center"/>
            <w:tcW w:w="31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Una evidencia una pregunta
Carrusel de 5 a 7 láminas</w:t>
            </w:r>
          </w:p>
        </w:tc>
        <w:tc>
          <w:tcPr>
            <w:vAlign w:val="center"/>
            <w:tcW w:w="62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Permite detenerse en el documento. Necesita fragmento legible, localizador, contexto y límite. Se observan guardados, consultas y precisión de las respuestas.</w:t>
            </w:r>
          </w:p>
        </w:tc>
      </w:tr>
      <w:tr>
        <w:trPr>
          <w:cantSplit w:val="1"/>
        </w:trPr>
        <w:tc>
          <w:tcPr>
            <w:vAlign w:val="center"/>
            <w:tcW w:w="31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El agua en el territorio
Mapa explicado</w:t>
            </w:r>
          </w:p>
        </w:tc>
        <w:tc>
          <w:tcPr>
            <w:vAlign w:val="center"/>
            <w:tcW w:w="62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Ayuda a reconocer un lugar y comparar cobertura. Requiere datos geográficos fechados y un método común. Las zonas sin observación deben verse distintas de las zonas sin problema.</w:t>
            </w:r>
          </w:p>
        </w:tc>
      </w:tr>
      <w:tr>
        <w:trPr>
          <w:cantSplit w:val="1"/>
        </w:trPr>
        <w:tc>
          <w:tcPr>
            <w:vAlign w:val="center"/>
            <w:tcW w:w="31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Así lo investigamos
Video de 1 a 3 minutos</w:t>
            </w:r>
          </w:p>
        </w:tc>
        <w:tc>
          <w:tcPr>
            <w:vAlign w:val="center"/>
            <w:tcW w:w="62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Da acceso al proceso y a lo que haría cambiar una conclusión. Necesita un procedimiento real documentado. Se observan dudas resueltas y fuentes consultadas.</w:t>
            </w:r>
          </w:p>
        </w:tc>
      </w:tr>
      <w:tr>
        <w:trPr>
          <w:cantSplit w:val="1"/>
        </w:trPr>
        <w:tc>
          <w:tcPr>
            <w:vAlign w:val="center"/>
            <w:tcW w:w="31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Una experiencia y su alcance
Testimonio acompañado</w:t>
            </w:r>
          </w:p>
        </w:tc>
        <w:tc>
          <w:tcPr>
            <w:vAlign w:val="center"/>
            <w:tcW w:w="62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Aporta una voz concreta y permite reconocer una situación. Requiere consentimiento y contexto. La experiencia individual no se presenta como estadística del AMG.</w:t>
            </w:r>
          </w:p>
        </w:tc>
      </w:tr>
      <w:tr>
        <w:trPr>
          <w:cantSplit w:val="1"/>
        </w:trPr>
        <w:tc>
          <w:tcPr>
            <w:vAlign w:val="center"/>
            <w:tcW w:w="31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Qué cambió en el expediente
Actualización breve</w:t>
            </w:r>
          </w:p>
        </w:tc>
        <w:tc>
          <w:tcPr>
            <w:vAlign w:val="center"/>
            <w:tcW w:w="62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Ofrece continuidad y una razón para volver. Necesita una nueva evidencia, respuesta o corrección identificable. Se mide el retorno y la comprensión del cambio.</w:t>
            </w:r>
          </w:p>
        </w:tc>
      </w:tr>
    </w:tbl>
    <w:p>
      <w:pPr>
        <w:spacing w:after="240" w:lineRule="auto"/>
        <w:jc w:val="both"/>
        <w:rPr>
          <w:rFonts w:ascii="Georgia" w:cs="Georgia" w:eastAsia="Georgia" w:hAnsi="Georgia"/>
        </w:rPr>
      </w:pPr>
      <w:r>
        <w:rPr>
          <w:rFonts w:ascii="Georgia" w:cs="Georgia" w:eastAsia="Georgia" w:hAnsi="Georgia"/>
        </w:rPr>
        <w:t xml:space="preserve">La apertura puede plantear una pregunta, mostrar un objeto cotidiano o señalar un contraste documentado. Conviene evitar titulares que ya condenen al actor antes de mostrar la prueba. El humor puede ayudar a explicar trámites o términos; las personas afectadas y sus pérdidas no deben convertirse en el chiste.</w:t>
      </w:r>
    </w:p>
    <w:p>
      <w:pPr>
        <w:spacing w:after="240" w:lineRule="auto"/>
        <w:jc w:val="both"/>
        <w:rPr>
          <w:rFonts w:ascii="Georgia" w:cs="Georgia" w:eastAsia="Georgia" w:hAnsi="Georgia"/>
        </w:rPr>
      </w:pPr>
      <w:r>
        <w:rPr>
          <w:rFonts w:ascii="Georgia" w:cs="Georgia" w:eastAsia="Georgia" w:hAnsi="Georgia"/>
        </w:rPr>
        <w:t xml:space="preserve">Cada pieza llevará subtítulos revisados, voz comprensible, texto legible y fuente localizable. Las reconstrucciones e ilustraciones se identificarán como tales. Una imagen generada o una dramatización no se presentará como registro de campo.</w:t>
      </w:r>
    </w:p>
    <w:p>
      <w:pPr>
        <w:pStyle w:val="Heading1"/>
        <w:rPr>
          <w:color w:val="000000"/>
        </w:rPr>
        <w:pageBreakBefore w:val="1"/>
      </w:pPr>
      <w:r>
        <w:rPr>
          <w:color w:val="000000"/>
        </w:rPr>
        <w:t xml:space="preserve">Contenidos para las ramas E1 a E5</w:t>
      </w:r>
    </w:p>
    <w:p>
      <w:pPr>
        <w:spacing w:after="240" w:lineRule="auto"/>
        <w:jc w:val="both"/>
        <w:rPr>
          <w:rFonts w:ascii="Georgia" w:cs="Georgia" w:eastAsia="Georgia" w:hAnsi="Georgia"/>
        </w:rPr>
      </w:pPr>
      <w:r>
        <w:rPr>
          <w:rFonts w:ascii="Georgia" w:cs="Georgia" w:eastAsia="Georgia" w:hAnsi="Georgia"/>
        </w:rPr>
        <w:t xml:space="preserve">Este catálogo traduce los temas del diagnóstico a preguntas públicas. Los títulos son propuestas, no afirmaciones de hallazgos ya demostrados. La evidencia indicada es necesaria para sostener cada pieza y debe acompañarse del método y de explicaciones alternativas cuando corresponda. [I1–I4]</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750"/>
        <w:gridCol w:w="2750"/>
        <w:gridCol w:w="3850"/>
      </w:tblGrid>
      <w:tr>
        <w:trPr>
          <w:cantSplit w:val="1"/>
          <w:tblHeader w:val="1"/>
        </w:trPr>
        <w:tc>
          <w:tcPr>
            <w:shd w:fill="F3F3F3" w:val="clear"/>
            <w:vAlign w:val="center"/>
            <w:tcW w:w="27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Rama y pregunta</w:t>
            </w:r>
          </w:p>
        </w:tc>
        <w:tc>
          <w:tcPr>
            <w:shd w:fill="F3F3F3" w:val="clear"/>
            <w:vAlign w:val="center"/>
            <w:tcW w:w="27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Pieza sugerida</w:t>
            </w:r>
          </w:p>
        </w:tc>
        <w:tc>
          <w:tcPr>
            <w:shd w:fill="F3F3F3" w:val="clear"/>
            <w:vAlign w:val="center"/>
            <w:tcW w:w="38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Evidencia y límite principal</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E1 Calidad
Qué demuestra un análisis de agua</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Carrusel de lectura del informe y video con explicación técnica revisada.</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Informe identificable, punto y fecha de muestra, procedimiento y parámetros. Un resultado no describe toda la red ni todos los días.</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E2 Tandeo
Cuántas horas llega el agua aquí</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Diario visual del suministro y mapa de cobertura observada.</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Registros fechados con método uniforme y puntos definidos. Una vivienda no representa automáticamente a su colonia.</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E3 Tarifa
Cómo se compone nuestro recibo</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Desglose visual del recibo y comparación de conceptos equivalentes.</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Recibos anonimizados y reglas tarifarias aplicables al periodo. La equidad requiere datos de ingreso y consumo comparables.</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E4 Inundaciones
Qué ocurrió en este punto y cuándo</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Cronología geolocalizada con imágenes verificadas y esquema del drenaje.</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Fecha, ubicación, lluvia y registros pertinentes. Una foto de inundación no identifica por sí sola la causa hidráulica.</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E5 Cuenca
Qué recibe el agua aguas abajo</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Mapa del recorrido y explicación de resultados por punto.</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Muestreos, caudales, periodos y fuentes de descarga documentados. Distinguir concentración de carga; atribuir origen requiere contraste.</w:t>
            </w:r>
          </w:p>
        </w:tc>
      </w:tr>
    </w:tbl>
    <w:p>
      <w:pPr>
        <w:spacing w:after="240" w:lineRule="auto"/>
        <w:jc w:val="both"/>
        <w:rPr>
          <w:rFonts w:ascii="Georgia" w:cs="Georgia" w:eastAsia="Georgia" w:hAnsi="Georgia"/>
        </w:rPr>
      </w:pPr>
      <w:r>
        <w:rPr>
          <w:rFonts w:ascii="Georgia" w:cs="Georgia" w:eastAsia="Georgia" w:hAnsi="Georgia"/>
        </w:rPr>
        <w:t xml:space="preserve">La prioridad inicial propuesta es E10, E2 y una pieza educativa de E1. E3, E4 y E5 amplían después el contexto económico y territorial cuando sus expedientes lo permitan. El orden puede cambiar si otra rama reúne antes una evidencia más clara y relevante.</w:t>
      </w:r>
    </w:p>
    <w:p>
      <w:pPr>
        <w:spacing w:after="240" w:lineRule="auto"/>
        <w:jc w:val="both"/>
        <w:rPr>
          <w:rFonts w:ascii="Georgia" w:cs="Georgia" w:eastAsia="Georgia" w:hAnsi="Georgia"/>
        </w:rPr>
      </w:pPr>
      <w:r>
        <w:rPr>
          <w:rFonts w:ascii="Georgia" w:cs="Georgia" w:eastAsia="Georgia" w:hAnsi="Georgia"/>
        </w:rPr>
        <w:t xml:space="preserve">Las cifras ya escritas en las fichas del diagnóstico no se convierten automáticamente en titulares. Antes se recuperará su fuente original, periodo, denominador y método; si ese respaldo no se encuentra, se presentará la pregunta de investigación.</w:t>
      </w:r>
    </w:p>
    <w:p>
      <w:pPr>
        <w:pStyle w:val="Heading1"/>
        <w:rPr>
          <w:color w:val="000000"/>
        </w:rPr>
        <w:pageBreakBefore w:val="1"/>
      </w:pPr>
      <w:r>
        <w:rPr>
          <w:color w:val="000000"/>
        </w:rPr>
        <w:t xml:space="preserve">Contenidos para las ramas E6 a E10</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750"/>
        <w:gridCol w:w="2750"/>
        <w:gridCol w:w="3850"/>
      </w:tblGrid>
      <w:tr>
        <w:trPr>
          <w:cantSplit w:val="1"/>
          <w:tblHeader w:val="1"/>
        </w:trPr>
        <w:tc>
          <w:tcPr>
            <w:shd w:fill="F3F3F3" w:val="clear"/>
            <w:vAlign w:val="center"/>
            <w:tcW w:w="27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Rama y pregunta</w:t>
            </w:r>
          </w:p>
        </w:tc>
        <w:tc>
          <w:tcPr>
            <w:shd w:fill="F3F3F3" w:val="clear"/>
            <w:vAlign w:val="center"/>
            <w:tcW w:w="27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Pieza sugerida</w:t>
            </w:r>
          </w:p>
        </w:tc>
        <w:tc>
          <w:tcPr>
            <w:shd w:fill="F3F3F3" w:val="clear"/>
            <w:vAlign w:val="center"/>
            <w:tcW w:w="38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Evidencia y límite principal</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E6 Mercado fuera del sistema
Qué sabemos de esta extracción</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Explicación documental del volumen, registro y periodo investigados.</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Mediciones, registros y documentos aplicables. Una pipa o una extracción visible no acredita por sí sola ilegalidad.</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E7 Presupuesto
Qué se contrató y qué se entregó</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Ruta del contrato a la entrega con documentos legibles.</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Contrato, pago, entregables y verificación. Adjudicación directa o gasto en comunicación, por sí solos, no demuestran captura o corrupción.</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E8 Fiscalización
Qué pasó después de esta observación</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Cronología de auditoría, respuesta y seguimiento.</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Informe y estado formal actualizado. Distinguir observación, investigación, resolución y sanción; no tratarlas como equivalentes.</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E9 Exigencia
Cómo convertir una duda en una pregunta comprobable</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Tutorial de lectura del expediente y pregunta ciudadana con seguimiento.</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Procedimiento vigente y registro de respuestas. El número de comentarios no prueba organización ni incidencia institucional.</w:t>
            </w:r>
          </w:p>
        </w:tc>
      </w:tr>
      <w:tr>
        <w:trPr>
          <w:cantSplit w:val="1"/>
        </w:trPr>
        <w:tc>
          <w:tcPr>
            <w:vAlign w:val="center"/>
            <w:tcW w:w="27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E10 Gasto privado
Cuánto pagamos además del recibo</w:t>
            </w:r>
          </w:p>
        </w:tc>
        <w:tc>
          <w:tcPr>
            <w:vAlign w:val="center"/>
            <w:tcW w:w="27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Video con comprobantes y carrusel de conceptos del gasto doméstico.</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Recibos de servicio, garrafón y pipa en periodos comparables. Separar gasto observado, motivo declarado y relación causal.</w:t>
            </w:r>
          </w:p>
        </w:tc>
      </w:tr>
    </w:tbl>
    <w:p>
      <w:pPr>
        <w:spacing w:after="240" w:lineRule="auto"/>
        <w:jc w:val="both"/>
        <w:rPr>
          <w:rFonts w:ascii="Georgia" w:cs="Georgia" w:eastAsia="Georgia" w:hAnsi="Georgia"/>
        </w:rPr>
      </w:pPr>
      <w:r>
        <w:rPr>
          <w:rFonts w:ascii="Georgia" w:cs="Georgia" w:eastAsia="Georgia" w:hAnsi="Georgia"/>
        </w:rPr>
        <w:t xml:space="preserve">E6, E7 y E8 pueden despertar interés por el destino de recursos y por la actuación institucional. Esa fuerza exige especial precisión: la pieza debe enunciar la conducta que el expediente demuestra, ubicar su estado y distinguirla de nuestra interpretación. Los nombres de las ramas son etiquetas internas del modelo, no titulares que deban publicarse literalmente. [I1–I3]</w:t>
      </w:r>
    </w:p>
    <w:p>
      <w:pPr>
        <w:spacing w:after="240" w:lineRule="auto"/>
        <w:jc w:val="both"/>
        <w:rPr>
          <w:rFonts w:ascii="Georgia" w:cs="Georgia" w:eastAsia="Georgia" w:hAnsi="Georgia"/>
        </w:rPr>
      </w:pPr>
      <w:r>
        <w:rPr>
          <w:rFonts w:ascii="Georgia" w:cs="Georgia" w:eastAsia="Georgia" w:hAnsi="Georgia"/>
        </w:rPr>
        <w:t xml:space="preserve">E9 puede acompañar todas las series con preguntas y seguimiento. E10 conecta experiencia doméstica y estructura: permite pasar del comprobante a E2 o E1 cuando la evidencia sostenga la relación. La compra de agua puede responder también a preferencias u otros factores; no debemos atribuir todo el gasto al deterioro del servicio.</w:t>
      </w:r>
    </w:p>
    <w:p>
      <w:pPr>
        <w:spacing w:after="240" w:lineRule="auto"/>
        <w:jc w:val="both"/>
        <w:rPr>
          <w:rFonts w:ascii="Georgia" w:cs="Georgia" w:eastAsia="Georgia" w:hAnsi="Georgia"/>
        </w:rPr>
      </w:pPr>
      <w:r>
        <w:rPr>
          <w:rFonts w:ascii="Georgia" w:cs="Georgia" w:eastAsia="Georgia" w:hAnsi="Georgia"/>
        </w:rPr>
        <w:t xml:space="preserve">El eje de inequidad se examinará con periodos, conceptos e ingresos comparables. Mostrar dos recibos diferentes puede abrir una pregunta; no basta para concluir quién soporta una mayor carga relativa.</w:t>
      </w:r>
    </w:p>
    <w:p>
      <w:pPr>
        <w:pStyle w:val="Heading1"/>
        <w:rPr>
          <w:color w:val="000000"/>
        </w:rPr>
        <w:pageBreakBefore w:val="1"/>
      </w:pPr>
      <w:r>
        <w:rPr>
          <w:color w:val="000000"/>
        </w:rPr>
        <w:t xml:space="preserve">Tres guiones de ejemplo</w:t>
      </w:r>
    </w:p>
    <w:p>
      <w:pPr>
        <w:spacing w:after="240" w:lineRule="auto"/>
        <w:jc w:val="both"/>
        <w:rPr>
          <w:rFonts w:ascii="Georgia" w:cs="Georgia" w:eastAsia="Georgia" w:hAnsi="Georgia"/>
        </w:rPr>
      </w:pPr>
      <w:r>
        <w:rPr>
          <w:rFonts w:ascii="Georgia" w:cs="Georgia" w:eastAsia="Georgia" w:hAnsi="Georgia"/>
        </w:rPr>
        <w:t xml:space="preserve">Estos ejemplos sirven para producción. Los dos primeros explican preguntas y método; el tercero define cómo presentar un hallazgo futuro. No contienen resultados de campo inventados.</w:t>
      </w:r>
    </w:p>
    <w:p>
      <w:pPr>
        <w:spacing w:after="240" w:lineRule="auto"/>
        <w:jc w:val="both"/>
        <w:rPr>
          <w:rFonts w:ascii="Georgia" w:cs="Georgia" w:eastAsia="Georgia" w:hAnsi="Georgia"/>
          <w:b w:val="1"/>
        </w:rPr>
        <w:keepNext w:val="1"/>
      </w:pPr>
      <w:r>
        <w:rPr>
          <w:rFonts w:ascii="Georgia" w:cs="Georgia" w:eastAsia="Georgia" w:hAnsi="Georgia"/>
          <w:b w:val="1"/>
        </w:rPr>
        <w:t xml:space="preserve">La cuenta completa del agua</w:t>
      </w:r>
    </w:p>
    <w:p>
      <w:pPr>
        <w:spacing w:after="240" w:lineRule="auto"/>
        <w:jc w:val="both"/>
        <w:rPr>
          <w:rFonts w:ascii="Georgia" w:cs="Georgia" w:eastAsia="Georgia" w:hAnsi="Georgia"/>
        </w:rPr>
      </w:pPr>
      <w:r>
        <w:rPr>
          <w:rFonts w:ascii="Georgia" w:cs="Georgia" w:eastAsia="Georgia" w:hAnsi="Georgia"/>
        </w:rPr>
        <w:t xml:space="preserve">Apertura: «¿Tu recibo muestra todo lo que gastas en agua?». Mostrar tarjetas rotuladas como ejemplo de conceptos, sin montos: servicio, garrafón y pipa. Desarrollo: «Para investigarlo necesitamos registrar por separado lo que se pagó durante el mismo periodo. Después revisamos por qué se hizo cada compra y a quién representa esa información». Cierre: «El expediente explicará qué incluimos, cómo lo calculamos y qué falta comprobar». Enlazarlo solo cuando exista una versión pública revisada.</w:t>
      </w:r>
    </w:p>
    <w:p>
      <w:pPr>
        <w:spacing w:after="240" w:lineRule="auto"/>
        <w:jc w:val="both"/>
        <w:rPr>
          <w:rFonts w:ascii="Georgia" w:cs="Georgia" w:eastAsia="Georgia" w:hAnsi="Georgia"/>
          <w:b w:val="1"/>
        </w:rPr>
        <w:keepNext w:val="1"/>
      </w:pPr>
      <w:r>
        <w:rPr>
          <w:rFonts w:ascii="Georgia" w:cs="Georgia" w:eastAsia="Georgia" w:hAnsi="Georgia"/>
          <w:b w:val="1"/>
        </w:rPr>
        <w:t xml:space="preserve">Un corte no explica toda la historia</w:t>
      </w:r>
    </w:p>
    <w:p>
      <w:pPr>
        <w:spacing w:after="240" w:lineRule="auto"/>
        <w:jc w:val="both"/>
        <w:rPr>
          <w:rFonts w:ascii="Georgia" w:cs="Georgia" w:eastAsia="Georgia" w:hAnsi="Georgia"/>
        </w:rPr>
      </w:pPr>
      <w:r>
        <w:rPr>
          <w:rFonts w:ascii="Georgia" w:cs="Georgia" w:eastAsia="Georgia" w:hAnsi="Georgia"/>
        </w:rPr>
        <w:t xml:space="preserve">Apertura: «¿Qué necesitamos para saber cuántas horas llega el agua?». Mostrar un calendario sin datos simulados. Desarrollo: «Un reporte nos cuenta lo que ocurrió en un lugar. Para comparar necesitamos fechas, puntos y la misma forma de registrar el suministro. También debemos distinguir la red del almacenamiento de la vivienda». Cierre: «Así estamos definiendo la medición. Los resultados se publicarán con su cobertura y sus límites». Relación interna: E2 y su indicador de horas de suministro. [I4]</w:t>
      </w:r>
    </w:p>
    <w:p>
      <w:pPr>
        <w:spacing w:after="240" w:lineRule="auto"/>
        <w:jc w:val="both"/>
        <w:rPr>
          <w:rFonts w:ascii="Georgia" w:cs="Georgia" w:eastAsia="Georgia" w:hAnsi="Georgia"/>
          <w:b w:val="1"/>
        </w:rPr>
        <w:keepNext w:val="1"/>
      </w:pPr>
      <w:r>
        <w:rPr>
          <w:rFonts w:ascii="Georgia" w:cs="Georgia" w:eastAsia="Georgia" w:hAnsi="Georgia"/>
          <w:b w:val="1"/>
        </w:rPr>
        <w:t xml:space="preserve">Carrusel para un hallazgo validado</w:t>
      </w:r>
    </w:p>
    <w:p>
      <w:pPr>
        <w:spacing w:after="240" w:lineRule="auto"/>
        <w:jc w:val="both"/>
        <w:rPr>
          <w:rFonts w:ascii="Georgia" w:cs="Georgia" w:eastAsia="Georgia" w:hAnsi="Georgia"/>
        </w:rPr>
      </w:pPr>
      <w:r>
        <w:rPr>
          <w:rFonts w:ascii="Georgia" w:cs="Georgia" w:eastAsia="Georgia" w:hAnsi="Georgia"/>
        </w:rPr>
        <w:t xml:space="preserve">Lámina 1: una pregunta que el resultado realmente responda. Lámina 2: observación central con unidad, lugar y periodo. Lámina 3: fragmento y localizador de la fuente. Lámina 4: explicación del mecanismo, identificada como interpretación cuando lo sea. Lámina 5: alcance, alternativa relevante y límite. Lámina 6: pregunta que sigue abierta y enlace al expediente con fecha de versión.</w:t>
      </w:r>
    </w:p>
    <w:p>
      <w:pPr>
        <w:spacing w:after="240" w:lineRule="auto"/>
        <w:jc w:val="both"/>
        <w:rPr>
          <w:rFonts w:ascii="Georgia" w:cs="Georgia" w:eastAsia="Georgia" w:hAnsi="Georgia"/>
        </w:rPr>
      </w:pPr>
      <w:r>
        <w:rPr>
          <w:rFonts w:ascii="Georgia" w:cs="Georgia" w:eastAsia="Georgia" w:hAnsi="Georgia"/>
        </w:rPr>
        <w:t xml:space="preserve">En los videos proponemos dedicar la apertura a la pregunta, el tramo central a la prueba y el cierre al significado y al acceso a la fuente. La distribución de segundos se ajustará después de observar comprensión y retención; no se recortará un límite esencial para acelerar el ritmo.</w:t>
      </w:r>
    </w:p>
    <w:p>
      <w:pPr>
        <w:pStyle w:val="Heading1"/>
        <w:rPr>
          <w:color w:val="000000"/>
        </w:rPr>
        <w:pageBreakBefore w:val="1"/>
      </w:pPr>
      <w:r>
        <w:rPr>
          <w:color w:val="000000"/>
        </w:rPr>
        <w:t xml:space="preserve">De la evidencia a la publicación</w:t>
      </w:r>
    </w:p>
    <w:p>
      <w:pPr>
        <w:spacing w:after="240" w:lineRule="auto"/>
        <w:jc w:val="both"/>
        <w:rPr>
          <w:rFonts w:ascii="Georgia" w:cs="Georgia" w:eastAsia="Georgia" w:hAnsi="Georgia"/>
        </w:rPr>
      </w:pPr>
      <w:r>
        <w:rPr>
          <w:rFonts w:ascii="Georgia" w:cs="Georgia" w:eastAsia="Georgia" w:hAnsi="Georgia"/>
        </w:rPr>
        <w:t xml:space="preserve">La unidad de trabajo será una afirmación del diagnóstico. La guía del proyecto ya separa observación, método, interpretación y alcance, y reconoce resultados contrarios o no concluyentes. La ficha editorial reutilizará esos campos y añadirá decisiones de publicación. [I3]</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00"/>
        <w:gridCol w:w="6850"/>
      </w:tblGrid>
      <w:tr>
        <w:trPr>
          <w:cantSplit w:val="1"/>
          <w:tblHeader w:val="1"/>
        </w:trPr>
        <w:tc>
          <w:tcPr>
            <w:shd w:fill="F3F3F3" w:val="clear"/>
            <w:vAlign w:val="center"/>
            <w:tcW w:w="25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Momento</w:t>
            </w:r>
          </w:p>
        </w:tc>
        <w:tc>
          <w:tcPr>
            <w:shd w:fill="F3F3F3" w:val="clear"/>
            <w:vAlign w:val="center"/>
            <w:tcW w:w="68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Resultado necesario</w:t>
            </w:r>
          </w:p>
        </w:tc>
      </w:tr>
      <w:tr>
        <w:trPr>
          <w:cantSplit w:val="1"/>
        </w:trPr>
        <w:tc>
          <w:tcPr>
            <w:vAlign w:val="center"/>
            <w:tcW w:w="25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1 Contrastar</w:t>
            </w:r>
          </w:p>
        </w:tc>
        <w:tc>
          <w:tcPr>
            <w:vAlign w:val="center"/>
            <w:tcW w:w="6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Identificar nodo, pregunta, explicación alternativa, método y resultado que haría revisar la afirmación.</w:t>
            </w:r>
          </w:p>
        </w:tc>
      </w:tr>
      <w:tr>
        <w:trPr>
          <w:cantSplit w:val="1"/>
        </w:trPr>
        <w:tc>
          <w:tcPr>
            <w:vAlign w:val="center"/>
            <w:tcW w:w="25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2 Documentar</w:t>
            </w:r>
          </w:p>
        </w:tc>
        <w:tc>
          <w:tcPr>
            <w:vAlign w:val="center"/>
            <w:tcW w:w="6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Conservar fuente original y localizador; registrar fecha, territorio, población, muestra o cobertura y límites.</w:t>
            </w:r>
          </w:p>
        </w:tc>
      </w:tr>
      <w:tr>
        <w:trPr>
          <w:cantSplit w:val="1"/>
        </w:trPr>
        <w:tc>
          <w:tcPr>
            <w:vAlign w:val="center"/>
            <w:tcW w:w="25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3 Revisar</w:t>
            </w:r>
          </w:p>
        </w:tc>
        <w:tc>
          <w:tcPr>
            <w:vAlign w:val="center"/>
            <w:tcW w:w="6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Una segunda persona comprueba documentos e interpretación. Aceptación documental no equivale a causalidad demostrada.</w:t>
            </w:r>
          </w:p>
        </w:tc>
      </w:tr>
      <w:tr>
        <w:trPr>
          <w:cantSplit w:val="1"/>
        </w:trPr>
        <w:tc>
          <w:tcPr>
            <w:vAlign w:val="center"/>
            <w:tcW w:w="25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4 Preparar</w:t>
            </w:r>
          </w:p>
        </w:tc>
        <w:tc>
          <w:tcPr>
            <w:vAlign w:val="center"/>
            <w:tcW w:w="6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Crear versión pública del expediente, retirar identificadores innecesarios y vincular el guion con sus fuentes.</w:t>
            </w:r>
          </w:p>
        </w:tc>
      </w:tr>
      <w:tr>
        <w:trPr>
          <w:cantSplit w:val="1"/>
        </w:trPr>
        <w:tc>
          <w:tcPr>
            <w:vAlign w:val="center"/>
            <w:tcW w:w="25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5 Probar y publicar</w:t>
            </w:r>
          </w:p>
        </w:tc>
        <w:tc>
          <w:tcPr>
            <w:vAlign w:val="center"/>
            <w:tcW w:w="6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Comprobar que el público entiende hallazgo y límite. Registrar responsable, fecha y versión de la pieza.</w:t>
            </w:r>
          </w:p>
        </w:tc>
      </w:tr>
      <w:tr>
        <w:trPr>
          <w:cantSplit w:val="1"/>
        </w:trPr>
        <w:tc>
          <w:tcPr>
            <w:vAlign w:val="center"/>
            <w:tcW w:w="25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6 Corregir y seguir</w:t>
            </w:r>
          </w:p>
        </w:tc>
        <w:tc>
          <w:tcPr>
            <w:vAlign w:val="center"/>
            <w:tcW w:w="6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Conservar historial, explicar cambios y actualizar las piezas afectadas cuando cambie el respaldo.</w:t>
            </w:r>
          </w:p>
        </w:tc>
      </w:tr>
    </w:tbl>
    <w:p>
      <w:pPr>
        <w:spacing w:after="240" w:lineRule="auto"/>
        <w:jc w:val="both"/>
        <w:rPr>
          <w:rFonts w:ascii="Georgia" w:cs="Georgia" w:eastAsia="Georgia" w:hAnsi="Georgia"/>
        </w:rPr>
      </w:pPr>
      <w:r>
        <w:rPr>
          <w:rFonts w:ascii="Georgia" w:cs="Georgia" w:eastAsia="Georgia" w:hAnsi="Georgia"/>
        </w:rPr>
        <w:t xml:space="preserve">Proponemos tres decisiones editoriales: educativo sobre el método; hallazgo acotado revisado; o pendiente de publicación. Son estados de comunicación adicionales, no sustitutos de los estados de investigación ni certificados de aprobación del Consejo. Cada hallazgo debe tener una decisión explícita sobre qué puede afirmarse.</w:t>
      </w:r>
    </w:p>
    <w:p>
      <w:pPr>
        <w:spacing w:after="240" w:lineRule="auto"/>
        <w:jc w:val="both"/>
        <w:rPr>
          <w:rFonts w:ascii="Georgia" w:cs="Georgia" w:eastAsia="Georgia" w:hAnsi="Georgia"/>
        </w:rPr>
      </w:pPr>
      <w:r>
        <w:rPr>
          <w:rFonts w:ascii="Georgia" w:cs="Georgia" w:eastAsia="Georgia" w:hAnsi="Georgia"/>
        </w:rPr>
        <w:t xml:space="preserve">Antes de publicar testimonios se acordará su uso y se protegerán domicilio exacto, teléfono, cuenta y otros identificadores innecesarios. Cuando una pieza examine actuaciones de una institución o persona, se documentará la respuesta solicitada y recibida. La falta de respuesta se describirá como tal, sin convertirla en prueba de la acusación.</w:t>
      </w:r>
    </w:p>
    <w:p>
      <w:pPr>
        <w:spacing w:after="240" w:lineRule="auto"/>
        <w:jc w:val="both"/>
        <w:rPr>
          <w:rFonts w:ascii="Georgia" w:cs="Georgia" w:eastAsia="Georgia" w:hAnsi="Georgia"/>
        </w:rPr>
      </w:pPr>
      <w:r>
        <w:rPr>
          <w:rFonts w:ascii="Georgia" w:cs="Georgia" w:eastAsia="Georgia" w:hAnsi="Georgia"/>
        </w:rPr>
        <w:t xml:space="preserve">Una corrección sustantiva debe ser visible donde circuló el error. Si una conclusión pierde respaldo, se detendrá su difusión y se enlazará la explicación. El expediente conservará el cambio y la evidencia que lo motivó.</w:t>
      </w:r>
    </w:p>
    <w:p>
      <w:pPr>
        <w:pStyle w:val="Heading1"/>
        <w:rPr>
          <w:color w:val="000000"/>
        </w:rPr>
        <w:pageBreakBefore w:val="1"/>
      </w:pPr>
      <w:r>
        <w:rPr>
          <w:color w:val="000000"/>
        </w:rPr>
        <w:t xml:space="preserve">Lanzamiento y difusión más allá del AMG</w:t>
      </w:r>
    </w:p>
    <w:p>
      <w:pPr>
        <w:spacing w:after="240" w:lineRule="auto"/>
        <w:jc w:val="both"/>
        <w:rPr>
          <w:rFonts w:ascii="Georgia" w:cs="Georgia" w:eastAsia="Georgia" w:hAnsi="Georgia"/>
        </w:rPr>
      </w:pPr>
      <w:r>
        <w:rPr>
          <w:rFonts w:ascii="Georgia" w:cs="Georgia" w:eastAsia="Georgia" w:hAnsi="Georgia"/>
        </w:rPr>
        <w:t xml:space="preserve">Proponemos organizar la salida por paquetes de hallazgos revisados. El paquete inicial incluiría un expediente público, una síntesis comprensible, un video breve, un carrusel y una explicación extensa. Su fecha depende de la revisión de evidencia, no de completar una cuota de publicaciones.</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00"/>
        <w:gridCol w:w="6950"/>
      </w:tblGrid>
      <w:tr>
        <w:trPr>
          <w:cantSplit w:val="1"/>
          <w:tblHeader w:val="1"/>
        </w:trPr>
        <w:tc>
          <w:tcPr>
            <w:shd w:fill="F3F3F3" w:val="clear"/>
            <w:vAlign w:val="center"/>
            <w:tcW w:w="24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Etapa</w:t>
            </w:r>
          </w:p>
        </w:tc>
        <w:tc>
          <w:tcPr>
            <w:shd w:fill="F3F3F3" w:val="clear"/>
            <w:vAlign w:val="center"/>
            <w:tcW w:w="69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Entregables y propósito</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Preparación</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Elegir una afirmación principal; probar enlaces, preparar preguntas frecuentes y materiales con fuentes. Mostrar a lectores externos qué se entiende y qué se confunde.</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Día de salida</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Publicar la explicación principal con el expediente accesible. Mantener visibles lugar, periodo y límites en las piezas que puedan circular por separado.</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Días 2 a 7</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Responder preguntas documentadas, explicar el método y ampliar una conexión causal. Corregir pronto cualquier interpretación recurrente que exceda el hallazgo.</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Semanas 2 a 4</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Publicar seguimientos que aporten información nueva, respuestas y resultados contrarios. Preparar el siguiente paquete según lo aprendido.</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Ampliación</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Adaptar síntesis para otros públicos, añadir contexto geográfico y traducción revisada, y facilitar materiales a quienes decidan colaborar.</w:t>
            </w:r>
          </w:p>
        </w:tc>
      </w:tr>
    </w:tbl>
    <w:p>
      <w:pPr>
        <w:spacing w:after="240" w:lineRule="auto"/>
        <w:jc w:val="both"/>
        <w:rPr>
          <w:rFonts w:ascii="Georgia" w:cs="Georgia" w:eastAsia="Georgia" w:hAnsi="Georgia"/>
        </w:rPr>
      </w:pPr>
      <w:r>
        <w:rPr>
          <w:rFonts w:ascii="Georgia" w:cs="Georgia" w:eastAsia="Georgia" w:hAnsi="Georgia"/>
        </w:rPr>
        <w:t xml:space="preserve">Para alcance nacional, prepararíamos un resumen de una página con el hallazgo, su importancia, método, límites y documentos. Para públicos internacionales, una versión en inglés explicaría Guadalajara, la cuenca, las instituciones y las unidades de medida. La traducción mantendría el mismo grado de certeza de la versión española.</w:t>
      </w:r>
    </w:p>
    <w:p>
      <w:pPr>
        <w:spacing w:after="240" w:lineRule="auto"/>
        <w:jc w:val="both"/>
        <w:rPr>
          <w:rFonts w:ascii="Georgia" w:cs="Georgia" w:eastAsia="Georgia" w:hAnsi="Georgia"/>
        </w:rPr>
      </w:pPr>
      <w:r>
        <w:rPr>
          <w:rFonts w:ascii="Georgia" w:cs="Georgia" w:eastAsia="Georgia" w:hAnsi="Georgia"/>
        </w:rPr>
        <w:t xml:space="preserve">Las colaboraciones propuestas incluyen medios locales, periodistas de datos, universidades, organizaciones del agua y divulgadores. Se ofrecerían documentos, gráficos con fuente y entrevistas sobre el método. El equipo decidirá a quién contactar y gestionará los permisos de uso; este informe no implica que exista ya un acuerdo o respaldo de esas organizaciones.</w:t>
      </w:r>
    </w:p>
    <w:p>
      <w:pPr>
        <w:spacing w:after="240" w:lineRule="auto"/>
        <w:jc w:val="both"/>
        <w:rPr>
          <w:rFonts w:ascii="Georgia" w:cs="Georgia" w:eastAsia="Georgia" w:hAnsi="Georgia"/>
        </w:rPr>
      </w:pPr>
      <w:r>
        <w:rPr>
          <w:rFonts w:ascii="Georgia" w:cs="Georgia" w:eastAsia="Georgia" w:hAnsi="Georgia"/>
        </w:rPr>
        <w:t xml:space="preserve">La ambición de que el mundo conozca la investigación se convierte así en una ruta verificable: comprensión local, cobertura que enlace evidencia y reutilización contextualizada. No depende de una única publicación excepcional.</w:t>
      </w:r>
    </w:p>
    <w:p>
      <w:pPr>
        <w:pStyle w:val="Heading1"/>
        <w:rPr>
          <w:color w:val="000000"/>
        </w:rPr>
        <w:pageBreakBefore w:val="1"/>
      </w:pPr>
      <w:r>
        <w:rPr>
          <w:color w:val="000000"/>
        </w:rPr>
        <w:t xml:space="preserve">Piloto editorial de cuatro semanas</w:t>
      </w:r>
    </w:p>
    <w:p>
      <w:pPr>
        <w:spacing w:after="240" w:lineRule="auto"/>
        <w:jc w:val="both"/>
        <w:rPr>
          <w:rFonts w:ascii="Georgia" w:cs="Georgia" w:eastAsia="Georgia" w:hAnsi="Georgia"/>
        </w:rPr>
      </w:pPr>
      <w:r>
        <w:rPr>
          <w:rFonts w:ascii="Georgia" w:cs="Georgia" w:eastAsia="Georgia" w:hAnsi="Georgia"/>
        </w:rPr>
        <w:t xml:space="preserve">Hipótesis principal: una apertura cotidiana ayuda a entender y consultar la evidencia más que una apertura abstracta del mismo hallazgo. El piloto es exploratorio. No se han publicado variantes ni reunido resultados para este informe.</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50"/>
        <w:gridCol w:w="7100"/>
      </w:tblGrid>
      <w:tr>
        <w:trPr>
          <w:cantSplit w:val="1"/>
          <w:tblHeader w:val="1"/>
        </w:trPr>
        <w:tc>
          <w:tcPr>
            <w:shd w:fill="F3F3F3" w:val="clear"/>
            <w:vAlign w:val="center"/>
            <w:tcW w:w="22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Semana</w:t>
            </w:r>
          </w:p>
        </w:tc>
        <w:tc>
          <w:tcPr>
            <w:shd w:fill="F3F3F3" w:val="clear"/>
            <w:vAlign w:val="center"/>
            <w:tcW w:w="71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Trabajo y registro</w:t>
            </w:r>
          </w:p>
        </w:tc>
      </w:tr>
      <w:tr>
        <w:trPr>
          <w:cantSplit w:val="1"/>
        </w:trPr>
        <w:tc>
          <w:tcPr>
            <w:vAlign w:val="center"/>
            <w:tcW w:w="22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1 Prototipos</w:t>
            </w:r>
          </w:p>
        </w:tc>
        <w:tc>
          <w:tcPr>
            <w:vAlign w:val="center"/>
            <w:tcW w:w="71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Preparar tres piezas de E10, E2 y método de E1. Probarlas con 6 a 10 personas voluntarias ajenas a la redacción; grupo de conveniencia, sin representatividad estadística.</w:t>
            </w:r>
          </w:p>
        </w:tc>
      </w:tr>
      <w:tr>
        <w:trPr>
          <w:cantSplit w:val="1"/>
        </w:trPr>
        <w:tc>
          <w:tcPr>
            <w:vAlign w:val="center"/>
            <w:tcW w:w="22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2 Correcciones</w:t>
            </w:r>
          </w:p>
        </w:tc>
        <w:tc>
          <w:tcPr>
            <w:vAlign w:val="center"/>
            <w:tcW w:w="71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Preguntar qué concluye cada pieza, a quién y cuándo aplica y dónde se verifica. Revisar ambigüedades. Publicar solo lo que corresponda al estado de evidencia; lo demás continúa como prueba interna.</w:t>
            </w:r>
          </w:p>
        </w:tc>
      </w:tr>
      <w:tr>
        <w:trPr>
          <w:cantSplit w:val="1"/>
        </w:trPr>
        <w:tc>
          <w:tcPr>
            <w:vAlign w:val="center"/>
            <w:tcW w:w="22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3 Comparación</w:t>
            </w:r>
          </w:p>
        </w:tc>
        <w:tc>
          <w:tcPr>
            <w:vAlign w:val="center"/>
            <w:tcW w:w="71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Hacer dos versiones de una misma pieza cambiando solo la apertura. Mantener hecho, duración aproximada, explicación y acceso a fuente. Registrar horario, distribución y novedades externas.</w:t>
            </w:r>
          </w:p>
        </w:tc>
      </w:tr>
      <w:tr>
        <w:trPr>
          <w:cantSplit w:val="1"/>
        </w:trPr>
        <w:tc>
          <w:tcPr>
            <w:vAlign w:val="center"/>
            <w:tcW w:w="225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4 Decisión</w:t>
            </w:r>
          </w:p>
        </w:tc>
        <w:tc>
          <w:tcPr>
            <w:vAlign w:val="center"/>
            <w:tcW w:w="71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Comparar comprensión, consultas y difusión por separado. Conservar ambos resultados y explicar si conviene repetir, ajustar o ampliar la prueba.</w:t>
            </w:r>
          </w:p>
        </w:tc>
      </w:tr>
    </w:tbl>
    <w:p>
      <w:pPr>
        <w:spacing w:after="240" w:lineRule="auto"/>
        <w:jc w:val="both"/>
        <w:rPr>
          <w:rFonts w:ascii="Georgia" w:cs="Georgia" w:eastAsia="Georgia" w:hAnsi="Georgia"/>
        </w:rPr>
      </w:pPr>
      <w:r>
        <w:rPr>
          <w:rFonts w:ascii="Georgia" w:cs="Georgia" w:eastAsia="Georgia" w:hAnsi="Georgia"/>
        </w:rPr>
        <w:t xml:space="preserve">En la prueba interna se asignará al azar una de las aperturas a cada participante, para reducir el efecto de haber visto antes la otra. Con un grupo tan pequeño, el resultado sirve para detectar problemas y formular mejoras. En redes, la distribución orgánica no es aleatoria: una diferencia de rendimiento no establece por sí sola que la apertura la causó.</w:t>
      </w:r>
    </w:p>
    <w:p>
      <w:pPr>
        <w:spacing w:after="240" w:lineRule="auto"/>
        <w:jc w:val="both"/>
        <w:rPr>
          <w:rFonts w:ascii="Georgia" w:cs="Georgia" w:eastAsia="Georgia" w:hAnsi="Georgia"/>
        </w:rPr>
      </w:pPr>
      <w:r>
        <w:rPr>
          <w:rFonts w:ascii="Georgia" w:cs="Georgia" w:eastAsia="Georgia" w:hAnsi="Georgia"/>
        </w:rPr>
        <w:t xml:space="preserve">Se registrarán observaciones a las 24 horas y a los siete días de cada publicación. La comparación se hará dentro de la misma plataforma y con ventanas equivalentes. Estas ventanas son acuerdos de seguimiento del piloto y pueden ajustarse antes de empezarlo.</w:t>
      </w:r>
    </w:p>
    <w:p>
      <w:pPr>
        <w:spacing w:after="240" w:lineRule="auto"/>
        <w:jc w:val="both"/>
        <w:rPr>
          <w:rFonts w:ascii="Georgia" w:cs="Georgia" w:eastAsia="Georgia" w:hAnsi="Georgia"/>
        </w:rPr>
      </w:pPr>
      <w:r>
        <w:rPr>
          <w:rFonts w:ascii="Georgia" w:cs="Georgia" w:eastAsia="Georgia" w:hAnsi="Georgia"/>
        </w:rPr>
        <w:t xml:space="preserve">Criterio propuesto: cualquier error factual o atribución fuera de alcance obliga a corregir. Si varias personas repiten una interpretación equivocada, se revisará la pieza aunque tenga muchas vistas. Un formato se ampliará cuando ayude a comprender el hallazgo y llevar a sus fuentes en pruebas repetidas; no se declarará ganador por un solo pico.</w:t>
      </w:r>
    </w:p>
    <w:p>
      <w:pPr>
        <w:pStyle w:val="Heading1"/>
        <w:rPr>
          <w:color w:val="000000"/>
        </w:rPr>
        <w:pageBreakBefore w:val="1"/>
      </w:pPr>
      <w:r>
        <w:rPr>
          <w:color w:val="000000"/>
        </w:rPr>
        <w:t xml:space="preserve">Mediciones y responsabilidades</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850"/>
        <w:gridCol w:w="3700"/>
      </w:tblGrid>
      <w:tr>
        <w:trPr>
          <w:cantSplit w:val="1"/>
          <w:tblHeader w:val="1"/>
        </w:trPr>
        <w:tc>
          <w:tcPr>
            <w:shd w:fill="F3F3F3" w:val="clear"/>
            <w:vAlign w:val="center"/>
            <w:tcW w:w="18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Objetivo</w:t>
            </w:r>
          </w:p>
        </w:tc>
        <w:tc>
          <w:tcPr>
            <w:shd w:fill="F3F3F3" w:val="clear"/>
            <w:vAlign w:val="center"/>
            <w:tcW w:w="38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Medición propuesta</w:t>
            </w:r>
          </w:p>
        </w:tc>
        <w:tc>
          <w:tcPr>
            <w:shd w:fill="F3F3F3" w:val="clear"/>
            <w:vAlign w:val="center"/>
            <w:tcW w:w="37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Límite de interpretación</w:t>
            </w:r>
          </w:p>
        </w:tc>
      </w:tr>
      <w:tr>
        <w:trPr>
          <w:cantSplit w:val="1"/>
        </w:trPr>
        <w:tc>
          <w:tcPr>
            <w:vAlign w:val="center"/>
            <w:tcW w:w="18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Atención</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Cuentas alcanzadas y porcentaje o tiempo visto, según la plataforma.</w:t>
            </w:r>
          </w:p>
        </w:tc>
        <w:tc>
          <w:tcPr>
            <w:vAlign w:val="center"/>
            <w:tcW w:w="37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No sumar alcances de redes distintas como personas únicas.</w:t>
            </w:r>
          </w:p>
        </w:tc>
      </w:tr>
      <w:tr>
        <w:trPr>
          <w:cantSplit w:val="1"/>
        </w:trPr>
        <w:tc>
          <w:tcPr>
            <w:vAlign w:val="center"/>
            <w:tcW w:w="18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Difusión</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Compartidos divididos entre cuentas alcanzadas, cuando existan ambos datos.</w:t>
            </w:r>
          </w:p>
        </w:tc>
        <w:tc>
          <w:tcPr>
            <w:vAlign w:val="center"/>
            <w:tcW w:w="37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No comparar con una tasa cuyo denominador sean reproducciones.</w:t>
            </w:r>
          </w:p>
        </w:tc>
      </w:tr>
      <w:tr>
        <w:trPr>
          <w:cantSplit w:val="1"/>
        </w:trPr>
        <w:tc>
          <w:tcPr>
            <w:vAlign w:val="center"/>
            <w:tcW w:w="18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Comprensión</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Personas que explican bien hallazgo y alcance divididas entre respuestas evaluables; reportar conteos.</w:t>
            </w:r>
          </w:p>
        </w:tc>
        <w:tc>
          <w:tcPr>
            <w:vAlign w:val="center"/>
            <w:tcW w:w="37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La muestra voluntaria no representa a toda la audiencia.</w:t>
            </w:r>
          </w:p>
        </w:tc>
      </w:tr>
      <w:tr>
        <w:trPr>
          <w:cantSplit w:val="1"/>
        </w:trPr>
        <w:tc>
          <w:tcPr>
            <w:vAlign w:val="center"/>
            <w:tcW w:w="18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Consulta</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Accesos al expediente y aperturas de documentos identificados por pieza.</w:t>
            </w:r>
          </w:p>
        </w:tc>
        <w:tc>
          <w:tcPr>
            <w:vAlign w:val="center"/>
            <w:tcW w:w="37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Un acceso no demuestra lectura completa ni acuerdo.</w:t>
            </w:r>
          </w:p>
        </w:tc>
      </w:tr>
      <w:tr>
        <w:trPr>
          <w:cantSplit w:val="1"/>
        </w:trPr>
        <w:tc>
          <w:tcPr>
            <w:vAlign w:val="center"/>
            <w:tcW w:w="18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Participación útil</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Aportaciones con fuente localizable y pregunta pertinente; contar fuentes únicas aparte.</w:t>
            </w:r>
          </w:p>
        </w:tc>
        <w:tc>
          <w:tcPr>
            <w:vAlign w:val="center"/>
            <w:tcW w:w="37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Muchos comentarios no equivalen a evidencia independiente.</w:t>
            </w:r>
          </w:p>
        </w:tc>
      </w:tr>
      <w:tr>
        <w:trPr>
          <w:cantSplit w:val="1"/>
        </w:trPr>
        <w:tc>
          <w:tcPr>
            <w:vAlign w:val="center"/>
            <w:tcW w:w="18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Incidencia</w:t>
            </w:r>
          </w:p>
        </w:tc>
        <w:tc>
          <w:tcPr>
            <w:vAlign w:val="center"/>
            <w:tcW w:w="38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Citas públicas con fuente, respuestas documentadas y cambios verificables con fecha.</w:t>
            </w:r>
          </w:p>
        </w:tc>
        <w:tc>
          <w:tcPr>
            <w:vAlign w:val="center"/>
            <w:tcW w:w="370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Coincidencia temporal no demuestra que la campaña causó el cambio.</w:t>
            </w:r>
          </w:p>
        </w:tc>
      </w:tr>
    </w:tbl>
    <w:p>
      <w:pPr>
        <w:spacing w:after="240" w:lineRule="auto"/>
        <w:jc w:val="both"/>
        <w:rPr>
          <w:rFonts w:ascii="Georgia" w:cs="Georgia" w:eastAsia="Georgia" w:hAnsi="Georgia"/>
        </w:rPr>
      </w:pPr>
      <w:r>
        <w:rPr>
          <w:rFonts w:ascii="Georgia" w:cs="Georgia" w:eastAsia="Georgia" w:hAnsi="Georgia"/>
        </w:rPr>
        <w:t xml:space="preserve">La producción requiere cuatro funciones, que pueden repartirse entre menos personas: investigación prepara la afirmación; revisión comprueba respaldo y alcance; edición transforma el material; y comunidad registra preguntas, correcciones y métricas. Siempre que sea posible, una persona distinta de quien redactó revisará la afirmación antes de difundirla.</w:t>
      </w:r>
    </w:p>
    <w:p>
      <w:pPr>
        <w:spacing w:after="240" w:lineRule="auto"/>
        <w:jc w:val="both"/>
        <w:rPr>
          <w:rFonts w:ascii="Georgia" w:cs="Georgia" w:eastAsia="Georgia" w:hAnsi="Georgia"/>
        </w:rPr>
      </w:pPr>
      <w:r>
        <w:rPr>
          <w:rFonts w:ascii="Georgia" w:cs="Georgia" w:eastAsia="Georgia" w:hAnsi="Georgia"/>
        </w:rPr>
        <w:t xml:space="preserve">Como capacidad inicial proponemos tres piezas principales por semana una vez disponible el paquete validado. Una misma investigación puede alimentar un video, un carrusel y una respuesta; cada adaptación debe conservar sus fuentes. No es una exigencia de plataforma ni un compromiso de volumen.</w:t>
      </w:r>
    </w:p>
    <w:p>
      <w:pPr>
        <w:spacing w:after="240" w:lineRule="auto"/>
        <w:jc w:val="both"/>
        <w:rPr>
          <w:rFonts w:ascii="Georgia" w:cs="Georgia" w:eastAsia="Georgia" w:hAnsi="Georgia"/>
        </w:rPr>
      </w:pPr>
      <w:r>
        <w:rPr>
          <w:rFonts w:ascii="Georgia" w:cs="Georgia" w:eastAsia="Georgia" w:hAnsi="Georgia"/>
        </w:rPr>
        <w:t xml:space="preserve">Antes de fijar presupuesto, el equipo medirá horas reales de investigación, revisión, edición y respuesta en el primer paquete. Si la capacidad es insuficiente, reducirá piezas o canales. Las metas de alcance se fijarán después de obtener una línea base de la cuenta, manteniendo separados los indicadores de comunicación y los del sistema de agua.</w:t>
      </w:r>
    </w:p>
    <w:p>
      <w:pPr>
        <w:pStyle w:val="Heading1"/>
        <w:rPr>
          <w:color w:val="000000"/>
        </w:rPr>
        <w:pageBreakBefore w:val="1"/>
      </w:pPr>
      <w:r>
        <w:rPr>
          <w:color w:val="000000"/>
        </w:rPr>
        <w:t xml:space="preserve">Ficha para producir cada contenido</w:t>
      </w:r>
    </w:p>
    <w:p>
      <w:pPr>
        <w:spacing w:after="240" w:lineRule="auto"/>
        <w:jc w:val="both"/>
        <w:rPr>
          <w:rFonts w:ascii="Georgia" w:cs="Georgia" w:eastAsia="Georgia" w:hAnsi="Georgia"/>
        </w:rPr>
      </w:pPr>
      <w:r>
        <w:rPr>
          <w:rFonts w:ascii="Georgia" w:cs="Georgia" w:eastAsia="Georgia" w:hAnsi="Georgia"/>
        </w:rPr>
        <w:t xml:space="preserve">Proponemos añadir una ficha de publicación vinculada al expediente, sin modificar la clasificación causal original. Servirá para que otra persona pueda revisar la pieza y entender qué respalda cada frase.</w:t>
      </w:r>
    </w:p>
    <w:tbl>
      <w:tblPr>
        <w:tblStyle w:val="Table3"/>
        <w:tblW w:w="93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00"/>
        <w:gridCol w:w="6950"/>
      </w:tblGrid>
      <w:tr>
        <w:trPr>
          <w:cantSplit w:val="1"/>
          <w:tblHeader w:val="1"/>
        </w:trPr>
        <w:tc>
          <w:tcPr>
            <w:shd w:fill="F3F3F3" w:val="clear"/>
            <w:vAlign w:val="center"/>
            <w:tcW w:w="240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Campo</w:t>
            </w:r>
          </w:p>
        </w:tc>
        <w:tc>
          <w:tcPr>
            <w:shd w:fill="F3F3F3" w:val="clear"/>
            <w:vAlign w:val="center"/>
            <w:tcW w:w="6950" w:type="dxa"/>
            <w:tcMar>
              <w:top w:w="110" w:type="dxa"/>
              <w:bottom w:w="110" w:type="dxa"/>
              <w:left w:w="110" w:type="dxa"/>
              <w:right w:w="110" w:type="dxa"/>
            </w:tcMar>
          </w:tcPr>
          <w:p>
            <w:pPr>
              <w:rPr>
                <w:rFonts w:ascii="Georgia" w:cs="Georgia" w:eastAsia="Georgia" w:hAnsi="Georgia"/>
                <w:b w:val="1"/>
                <w:bCs w:val="1"/>
                <w:color w:val="000000"/>
                <w:sz w:val="20"/>
                <w:szCs w:val="20"/>
              </w:rPr>
              <w:jc w:val="left"/>
              <w:spacing w:before="0" w:after="0" w:line="240" w:lineRule="auto"/>
            </w:pPr>
            <w:r>
              <w:rPr>
                <w:rFonts w:ascii="Georgia" w:cs="Georgia" w:eastAsia="Georgia" w:hAnsi="Georgia"/>
                <w:b w:val="1"/>
                <w:bCs w:val="1"/>
                <w:color w:val="000000"/>
                <w:sz w:val="20"/>
                <w:szCs w:val="20"/>
              </w:rPr>
              <w:t xml:space="preserve">Qué debe conservar</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Identidad</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Código de pieza, nodo o afirmación original, título de trabajo, responsable y versión.</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Pregunta y público</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Duda concreta que responde y público al que puede servir; motivo por el que podría compartirla.</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Observación</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Dato, registro o testimonio; unidad, periodo, territorio, población y cobertura.</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Fuente y método</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Documento original, localizador, fecha, procedimiento y relación con el plan de contraste.</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Interpretación</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Mecanismo propuesto, evidencia contraria, explicación alternativa y límite de la conclusión.</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Relación con el modelo</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Efecto cotidiano, capas pertinentes, conexiones entre árboles y atribuciones sustentadas.</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Publicación</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Formato, apertura, guion, piezas visuales, enlace público y decisión editorial registrada.</w:t>
            </w:r>
          </w:p>
        </w:tc>
      </w:tr>
      <w:tr>
        <w:trPr>
          <w:cantSplit w:val="1"/>
        </w:trPr>
        <w:tc>
          <w:tcPr>
            <w:vAlign w:val="center"/>
            <w:tcW w:w="2400" w:type="dxa"/>
            <w:tcMar>
              <w:top w:w="110" w:type="dxa"/>
              <w:bottom w:w="110" w:type="dxa"/>
              <w:left w:w="110" w:type="dxa"/>
              <w:right w:w="110" w:type="dxa"/>
            </w:tcMar>
            <w:shd w:fill="FFFFFF" w:val="clear"/>
          </w:tcPr>
          <w:p>
            <w:pPr>
              <w:jc w:val="left"/>
              <w:rPr>
                <w:rFonts w:ascii="Georgia" w:cs="Georgia" w:eastAsia="Georgia" w:hAnsi="Georgia"/>
                <w:b w:val="0"/>
                <w:bCs w:val="0"/>
                <w:sz w:val="20"/>
                <w:szCs w:val="20"/>
                <w:color w:val="000000"/>
              </w:rPr>
              <w:spacing w:before="0" w:after="0" w:line="240" w:lineRule="auto"/>
            </w:pPr>
            <w:r>
              <w:rPr>
                <w:rFonts w:ascii="Georgia" w:cs="Georgia" w:eastAsia="Georgia" w:hAnsi="Georgia"/>
                <w:b w:val="0"/>
                <w:bCs w:val="0"/>
                <w:sz w:val="20"/>
                <w:szCs w:val="20"/>
                <w:color w:val="000000"/>
              </w:rPr>
              <w:t xml:space="preserve">Revisión y seguimiento</w:t>
            </w:r>
          </w:p>
        </w:tc>
        <w:tc>
          <w:tcPr>
            <w:vAlign w:val="center"/>
            <w:tcW w:w="6950" w:type="dxa"/>
            <w:tcMar>
              <w:top w:w="110" w:type="dxa"/>
              <w:bottom w:w="110" w:type="dxa"/>
              <w:left w:w="110" w:type="dxa"/>
              <w:right w:w="110" w:type="dxa"/>
            </w:tcMar>
            <w:shd w:fill="FFFFFF" w:val="clear"/>
          </w:tcPr>
          <w:p>
            <w:pPr>
              <w:jc w:val="left"/>
              <w:rPr>
                <w:rFonts w:ascii="Georgia" w:cs="Georgia" w:eastAsia="Georgia" w:hAnsi="Georgia"/>
                <w:sz w:val="20"/>
                <w:szCs w:val="20"/>
                <w:color w:val="000000"/>
                <w:b w:val="0"/>
                <w:bCs w:val="0"/>
              </w:rPr>
              <w:spacing w:before="0" w:after="0" w:line="240" w:lineRule="auto"/>
            </w:pPr>
            <w:r>
              <w:rPr>
                <w:rFonts w:ascii="Georgia" w:cs="Georgia" w:eastAsia="Georgia" w:hAnsi="Georgia"/>
                <w:sz w:val="20"/>
                <w:szCs w:val="20"/>
                <w:color w:val="000000"/>
                <w:b w:val="0"/>
                <w:bCs w:val="0"/>
              </w:rPr>
              <w:t xml:space="preserve">Comprobación de fuentes, consentimiento cuando aplique, respuestas, métricas y correcciones.</w:t>
            </w:r>
          </w:p>
        </w:tc>
      </w:tr>
    </w:tbl>
    <w:p>
      <w:pPr>
        <w:spacing w:after="240" w:lineRule="auto"/>
        <w:jc w:val="both"/>
        <w:rPr>
          <w:rFonts w:ascii="Georgia" w:cs="Georgia" w:eastAsia="Georgia" w:hAnsi="Georgia"/>
        </w:rPr>
      </w:pPr>
      <w:r>
        <w:rPr>
          <w:rFonts w:ascii="Georgia" w:cs="Georgia" w:eastAsia="Georgia" w:hAnsi="Georgia"/>
        </w:rPr>
        <w:t xml:space="preserve">Antes de iniciar la campaña, el equipo deberá elegir el primer expediente, designar quién revisa y quién responde, acordar el lugar público de las fuentes y reservar tiempo para el piloto. Son decisiones operativas propuestas; este documento no registra que hayan sido aprobadas.</w:t>
      </w:r>
    </w:p>
    <w:p>
      <w:pPr>
        <w:spacing w:after="240" w:lineRule="auto"/>
        <w:jc w:val="both"/>
        <w:rPr>
          <w:rFonts w:ascii="Georgia" w:cs="Georgia" w:eastAsia="Georgia" w:hAnsi="Georgia"/>
        </w:rPr>
      </w:pPr>
      <w:r>
        <w:rPr>
          <w:rFonts w:ascii="Georgia" w:cs="Georgia" w:eastAsia="Georgia" w:hAnsi="Georgia"/>
        </w:rPr>
        <w:t xml:space="preserve">Hay una corrección metodológica que conviene resolver en el material interno: el catálogo general de mediciones conserva formulaciones sobre inexistencia o reserva de datos, mientras que README, guía y fichas individuales señalan que la línea base no está incorporada y que la disponibilidad debe investigarse. Este informe usa la segunda formulación. La búsqueda pendiente no es prueba de ocultamiento. [I1, I3–I4]</w:t>
      </w:r>
    </w:p>
    <w:p>
      <w:pPr>
        <w:pStyle w:val="Heading1"/>
        <w:rPr>
          <w:color w:val="000000"/>
        </w:rPr>
        <w:pageBreakBefore w:val="1"/>
      </w:pPr>
      <w:r>
        <w:rPr>
          <w:color w:val="000000"/>
        </w:rPr>
        <w:t xml:space="preserve">Fuentes externas consultadas</w:t>
      </w:r>
    </w:p>
    <w:p>
      <w:pPr>
        <w:spacing w:after="240" w:lineRule="auto"/>
        <w:jc w:val="both"/>
        <w:rPr>
          <w:rFonts w:ascii="Georgia" w:cs="Georgia" w:eastAsia="Georgia" w:hAnsi="Georgia"/>
        </w:rPr>
      </w:pPr>
      <w:r>
        <w:rPr>
          <w:rFonts w:ascii="Georgia" w:cs="Georgia" w:eastAsia="Georgia" w:hAnsi="Georgia"/>
        </w:rPr>
        <w:t xml:space="preserve">Consulta realizada el 8 de septiembre de 2026. Las fuentes de plataformas describen sus propios sistemas y pueden cambiar. Las investigaciones académicas se usan con los límites de contexto expuestos en el informe.</w:t>
      </w:r>
    </w:p>
    <w:p>
      <w:pPr>
        <w:spacing w:after="240" w:lineRule="auto"/>
        <w:jc w:val="both"/>
        <w:rPr>
          <w:rFonts w:ascii="Georgia" w:cs="Georgia" w:eastAsia="Georgia" w:hAnsi="Georgia"/>
        </w:rPr>
      </w:pPr>
      <w:r>
        <w:rPr>
          <w:rFonts w:ascii="Georgia" w:cs="Georgia" w:eastAsia="Georgia" w:hAnsi="Georgia"/>
        </w:rPr>
        <w:t xml:space="preserve">S1  INEGI. Encuesta Nacional sobre Disponibilidad y Uso de Tecnologías de la Información en los Hogares 2025. Reporte 19/26, 16 de junio de 2026, pp. 3 y 7. Datos de conectividad nacional.</w:t>
      </w:r>
      <w:r>
        <w:rPr>
          <w:rFonts w:ascii="Georgia" w:hAnsi="Georgia"/>
        </w:rPr>
        <w:t xml:space="preserve"> </w:t>
      </w:r>
      <w:hyperlink r:id="rId101">
        <w:r>
          <w:rPr>
            <w:rFonts w:ascii="Georgia" w:hAnsi="Georgia"/>
            <w:u w:val="single"/>
            <w:color w:val="105128"/>
          </w:rPr>
          <w:t>Consultar fuente</w:t>
        </w:r>
      </w:hyperlink>
    </w:p>
    <w:p>
      <w:pPr>
        <w:spacing w:after="240" w:lineRule="auto"/>
        <w:jc w:val="both"/>
        <w:rPr>
          <w:rFonts w:ascii="Georgia" w:cs="Georgia" w:eastAsia="Georgia" w:hAnsi="Georgia"/>
        </w:rPr>
      </w:pPr>
      <w:r>
        <w:rPr>
          <w:rFonts w:ascii="Georgia" w:cs="Georgia" w:eastAsia="Georgia" w:hAnsi="Georgia"/>
        </w:rPr>
        <w:t xml:space="preserve">S2  YouTube Help. Search and discovery tips — Shorts. Sin fecha editorial visible. Señales de rendimiento, contexto de recomendación y cadencia.</w:t>
      </w:r>
      <w:r>
        <w:rPr>
          <w:rFonts w:ascii="Georgia" w:hAnsi="Georgia"/>
        </w:rPr>
        <w:t xml:space="preserve"> </w:t>
      </w:r>
      <w:hyperlink r:id="rId102">
        <w:r>
          <w:rPr>
            <w:rFonts w:ascii="Georgia" w:hAnsi="Georgia"/>
            <w:u w:val="single"/>
            <w:color w:val="105128"/>
          </w:rPr>
          <w:t>Consultar fuente</w:t>
        </w:r>
      </w:hyperlink>
    </w:p>
    <w:p>
      <w:pPr>
        <w:spacing w:after="240" w:lineRule="auto"/>
        <w:jc w:val="both"/>
        <w:rPr>
          <w:rFonts w:ascii="Georgia" w:cs="Georgia" w:eastAsia="Georgia" w:hAnsi="Georgia"/>
        </w:rPr>
      </w:pPr>
      <w:r>
        <w:rPr>
          <w:rFonts w:ascii="Georgia" w:cs="Georgia" w:eastAsia="Georgia" w:hAnsi="Georgia"/>
        </w:rPr>
        <w:t xml:space="preserve">S3  Meta. Ayudando a los creadores a encontrar nuevas audiencias. 2 de mayo de 2024. Anuncio sobre originalidad y recomendaciones en Instagram.</w:t>
      </w:r>
      <w:r>
        <w:rPr>
          <w:rFonts w:ascii="Georgia" w:hAnsi="Georgia"/>
        </w:rPr>
        <w:t xml:space="preserve"> </w:t>
      </w:r>
      <w:hyperlink r:id="rId103">
        <w:r>
          <w:rPr>
            <w:rFonts w:ascii="Georgia" w:hAnsi="Georgia"/>
            <w:u w:val="single"/>
            <w:color w:val="105128"/>
          </w:rPr>
          <w:t>Consultar fuente</w:t>
        </w:r>
      </w:hyperlink>
    </w:p>
    <w:p>
      <w:pPr>
        <w:spacing w:after="240" w:lineRule="auto"/>
        <w:jc w:val="both"/>
        <w:rPr>
          <w:rFonts w:ascii="Georgia" w:cs="Georgia" w:eastAsia="Georgia" w:hAnsi="Georgia"/>
        </w:rPr>
      </w:pPr>
      <w:r>
        <w:rPr>
          <w:rFonts w:ascii="Georgia" w:cs="Georgia" w:eastAsia="Georgia" w:hAnsi="Georgia"/>
        </w:rPr>
        <w:t xml:space="preserve">S4  TikTok Support. How TikTok recommends content. Sin fecha editorial visible. Explicación general de recomendaciones personalizadas.</w:t>
      </w:r>
      <w:r>
        <w:rPr>
          <w:rFonts w:ascii="Georgia" w:hAnsi="Georgia"/>
        </w:rPr>
        <w:t xml:space="preserve"> </w:t>
      </w:r>
      <w:hyperlink r:id="rId104">
        <w:r>
          <w:rPr>
            <w:rFonts w:ascii="Georgia" w:hAnsi="Georgia"/>
            <w:u w:val="single"/>
            <w:color w:val="105128"/>
          </w:rPr>
          <w:t>Consultar fuente</w:t>
        </w:r>
      </w:hyperlink>
    </w:p>
    <w:p>
      <w:pPr>
        <w:spacing w:after="240" w:lineRule="auto"/>
        <w:jc w:val="both"/>
        <w:rPr>
          <w:rFonts w:ascii="Georgia" w:cs="Georgia" w:eastAsia="Georgia" w:hAnsi="Georgia"/>
        </w:rPr>
      </w:pPr>
      <w:r>
        <w:rPr>
          <w:rFonts w:ascii="Georgia" w:cs="Georgia" w:eastAsia="Georgia" w:hAnsi="Georgia"/>
        </w:rPr>
        <w:t xml:space="preserve">S5  Berger, J., y Milkman, K. L. What Makes Online Content Viral? Journal of Marketing Research, 49(2), 192–205, abril de 2012. DOI 10.1509/jmr.10.0353.</w:t>
      </w:r>
      <w:r>
        <w:rPr>
          <w:rFonts w:ascii="Georgia" w:hAnsi="Georgia"/>
        </w:rPr>
        <w:t xml:space="preserve"> </w:t>
      </w:r>
      <w:hyperlink r:id="rId105">
        <w:r>
          <w:rPr>
            <w:rFonts w:ascii="Georgia" w:hAnsi="Georgia"/>
            <w:u w:val="single"/>
            <w:color w:val="105128"/>
          </w:rPr>
          <w:t>Consultar fuente</w:t>
        </w:r>
      </w:hyperlink>
    </w:p>
    <w:p>
      <w:pPr>
        <w:spacing w:after="240" w:lineRule="auto"/>
        <w:jc w:val="both"/>
        <w:rPr>
          <w:rFonts w:ascii="Georgia" w:cs="Georgia" w:eastAsia="Georgia" w:hAnsi="Georgia"/>
        </w:rPr>
      </w:pPr>
      <w:r>
        <w:rPr>
          <w:rFonts w:ascii="Georgia" w:cs="Georgia" w:eastAsia="Georgia" w:hAnsi="Georgia"/>
        </w:rPr>
        <w:t xml:space="preserve">S6  Pennycook, G., et al. Shifting attention to accuracy can reduce misinformation online. Nature, 592, 590–595. Publicación en línea del 17 de marzo de 2021. DOI 10.1038/s41586-021-03344-2.</w:t>
      </w:r>
      <w:r>
        <w:rPr>
          <w:rFonts w:ascii="Georgia" w:hAnsi="Georgia"/>
        </w:rPr>
        <w:t xml:space="preserve"> </w:t>
      </w:r>
      <w:hyperlink r:id="rId106">
        <w:r>
          <w:rPr>
            <w:rFonts w:ascii="Georgia" w:hAnsi="Georgia"/>
            <w:u w:val="single"/>
            <w:color w:val="105128"/>
          </w:rPr>
          <w:t>Consultar fuente</w:t>
        </w:r>
      </w:hyperlink>
    </w:p>
    <w:p>
      <w:pPr>
        <w:pStyle w:val="Heading1"/>
        <w:rPr>
          <w:color w:val="000000"/>
        </w:rPr>
        <w:pageBreakBefore w:val="1"/>
      </w:pPr>
      <w:r>
        <w:rPr>
          <w:color w:val="000000"/>
        </w:rPr>
        <w:t xml:space="preserve">Base interna y alcance de la revisión</w:t>
      </w:r>
    </w:p>
    <w:p>
      <w:pPr>
        <w:spacing w:after="240" w:lineRule="auto"/>
        <w:jc w:val="both"/>
        <w:rPr>
          <w:rFonts w:ascii="Georgia" w:cs="Georgia" w:eastAsia="Georgia" w:hAnsi="Georgia"/>
        </w:rPr>
      </w:pPr>
      <w:r>
        <w:rPr>
          <w:rFonts w:ascii="Georgia" w:cs="Georgia" w:eastAsia="Georgia" w:hAnsi="Georgia"/>
        </w:rPr>
        <w:t xml:space="preserve">El proyecto local Agua es la fuente del modelo estructural. Las referencias siguientes son localizadores dentro de la bóveda del equipo; no se presentan como fuentes públicas ya disponibles ni como evidencia de que todas sus afirmaciones estén demostradas.</w:t>
      </w:r>
    </w:p>
    <w:p>
      <w:pPr>
        <w:spacing w:after="240" w:lineRule="auto"/>
        <w:jc w:val="both"/>
        <w:rPr>
          <w:rFonts w:ascii="Georgia" w:cs="Georgia" w:eastAsia="Georgia" w:hAnsi="Georgia"/>
          <w:b w:val="1"/>
        </w:rPr>
        <w:keepNext w:val="1"/>
      </w:pPr>
      <w:r>
        <w:rPr>
          <w:rFonts w:ascii="Georgia" w:cs="Georgia" w:eastAsia="Georgia" w:hAnsi="Georgia"/>
          <w:b w:val="1"/>
        </w:rPr>
        <w:t xml:space="preserve">I1 Estructura y estado del diagnóstico</w:t>
      </w:r>
    </w:p>
    <w:p>
      <w:pPr>
        <w:spacing w:after="240" w:lineRule="auto"/>
        <w:jc w:val="both"/>
        <w:rPr>
          <w:rFonts w:ascii="Georgia" w:cs="Georgia" w:eastAsia="Georgia" w:hAnsi="Georgia"/>
        </w:rPr>
      </w:pPr>
      <w:r>
        <w:rPr>
          <w:rFonts w:ascii="Georgia" w:cs="Georgia" w:eastAsia="Georgia" w:hAnsi="Georgia"/>
        </w:rPr>
        <w:t xml:space="preserve">README.md; Inicio.md; 1 · El problema / El problema central.md; El eje regresivo.md; El basamento.md; La raíz maestra.md. Consultados para problema central, diez ramas, eje de inequidad y estado de revisión.</w:t>
      </w:r>
    </w:p>
    <w:p>
      <w:pPr>
        <w:spacing w:after="240" w:lineRule="auto"/>
        <w:jc w:val="both"/>
        <w:rPr>
          <w:rFonts w:ascii="Georgia" w:cs="Georgia" w:eastAsia="Georgia" w:hAnsi="Georgia"/>
          <w:b w:val="1"/>
        </w:rPr>
        <w:keepNext w:val="1"/>
      </w:pPr>
      <w:r>
        <w:rPr>
          <w:rFonts w:ascii="Georgia" w:cs="Georgia" w:eastAsia="Georgia" w:hAnsi="Georgia"/>
          <w:b w:val="1"/>
        </w:rPr>
        <w:t xml:space="preserve">I2 Reglas y organización del modelo</w:t>
      </w:r>
    </w:p>
    <w:p>
      <w:pPr>
        <w:spacing w:after="240" w:lineRule="auto"/>
        <w:jc w:val="both"/>
        <w:rPr>
          <w:rFonts w:ascii="Georgia" w:cs="Georgia" w:eastAsia="Georgia" w:hAnsi="Georgia"/>
        </w:rPr>
      </w:pPr>
      <w:r>
        <w:rPr>
          <w:rFonts w:ascii="Georgia" w:cs="Georgia" w:eastAsia="Georgia" w:hAnsi="Georgia"/>
        </w:rPr>
        <w:t xml:space="preserve">7 · El método / Las cuatro reglas.md; Las cinco capas.md; Cómo se lee un árbol.md; Cómo se tocan los árboles.md; Quién causa y quién debe resolver.md. Base de las reglas, capas, conexiones y distinción de responsabilidades.</w:t>
      </w:r>
    </w:p>
    <w:p>
      <w:pPr>
        <w:spacing w:after="240" w:lineRule="auto"/>
        <w:jc w:val="both"/>
        <w:rPr>
          <w:rFonts w:ascii="Georgia" w:cs="Georgia" w:eastAsia="Georgia" w:hAnsi="Georgia"/>
          <w:b w:val="1"/>
        </w:rPr>
        <w:keepNext w:val="1"/>
      </w:pPr>
      <w:r>
        <w:rPr>
          <w:rFonts w:ascii="Georgia" w:cs="Georgia" w:eastAsia="Georgia" w:hAnsi="Georgia"/>
          <w:b w:val="1"/>
        </w:rPr>
        <w:t xml:space="preserve">I3 Contraste y revisión de evidencia</w:t>
      </w:r>
    </w:p>
    <w:p>
      <w:pPr>
        <w:spacing w:after="240" w:lineRule="auto"/>
        <w:jc w:val="both"/>
        <w:rPr>
          <w:rFonts w:ascii="Georgia" w:cs="Georgia" w:eastAsia="Georgia" w:hAnsi="Georgia"/>
        </w:rPr>
      </w:pPr>
      <w:r>
        <w:rPr>
          <w:rFonts w:ascii="Georgia" w:cs="Georgia" w:eastAsia="Georgia" w:hAnsi="Georgia"/>
        </w:rPr>
        <w:t xml:space="preserve">7 · El método / Cómo aportar y revisar evidencia.md. Guía operativa propuesta para registrar observación, método, interpretación, alternativas, alcance, revisión e historial.</w:t>
      </w:r>
    </w:p>
    <w:p>
      <w:pPr>
        <w:spacing w:after="240" w:lineRule="auto"/>
        <w:jc w:val="both"/>
        <w:rPr>
          <w:rFonts w:ascii="Georgia" w:cs="Georgia" w:eastAsia="Georgia" w:hAnsi="Georgia"/>
          <w:b w:val="1"/>
        </w:rPr>
        <w:keepNext w:val="1"/>
      </w:pPr>
      <w:r>
        <w:rPr>
          <w:rFonts w:ascii="Georgia" w:cs="Georgia" w:eastAsia="Georgia" w:hAnsi="Georgia"/>
          <w:b w:val="1"/>
        </w:rPr>
        <w:t xml:space="preserve">I4 Indicadores y líneas base</w:t>
      </w:r>
    </w:p>
    <w:p>
      <w:pPr>
        <w:spacing w:after="240" w:lineRule="auto"/>
        <w:jc w:val="both"/>
        <w:rPr>
          <w:rFonts w:ascii="Georgia" w:cs="Georgia" w:eastAsia="Georgia" w:hAnsi="Georgia"/>
        </w:rPr>
      </w:pPr>
      <w:r>
        <w:rPr>
          <w:rFonts w:ascii="Georgia" w:cs="Georgia" w:eastAsia="Georgia" w:hAnsi="Georgia"/>
        </w:rPr>
        <w:t xml:space="preserve">6 · Las mediciones / Horas de suministro al día.md; Gasto del hogar en agua.md; Acceso a información de desempeño.md; Las mediciones.md. Consulta complementaria de los estados de las 30 fichas de indicadores.</w:t>
      </w:r>
    </w:p>
    <w:p>
      <w:pPr>
        <w:spacing w:after="240" w:lineRule="auto"/>
        <w:jc w:val="both"/>
        <w:rPr>
          <w:rFonts w:ascii="Georgia" w:cs="Georgia" w:eastAsia="Georgia" w:hAnsi="Georgia"/>
          <w:b w:val="1"/>
        </w:rPr>
        <w:keepNext w:val="1"/>
      </w:pPr>
      <w:r>
        <w:rPr>
          <w:rFonts w:ascii="Georgia" w:cs="Georgia" w:eastAsia="Georgia" w:hAnsi="Georgia"/>
          <w:b w:val="1"/>
        </w:rPr>
        <w:t xml:space="preserve">I5 Entradas editoriales y conexiones</w:t>
      </w:r>
    </w:p>
    <w:p>
      <w:pPr>
        <w:spacing w:after="240" w:lineRule="auto"/>
        <w:jc w:val="both"/>
        <w:rPr>
          <w:rFonts w:ascii="Georgia" w:cs="Georgia" w:eastAsia="Georgia" w:hAnsi="Georgia"/>
        </w:rPr>
      </w:pPr>
      <w:r>
        <w:rPr>
          <w:rFonts w:ascii="Georgia" w:cs="Georgia" w:eastAsia="Georgia" w:hAnsi="Georgia"/>
        </w:rPr>
        <w:t xml:space="preserve">2 · Las causas / E9 · La exigencia débil.md; E10 · El gasto privado forzado.md. 3 · Las fichas / E1.3.md; E2.1.md; E9.2.md; E10.3.md. Usadas para diseñar preguntas y conexiones, sujetas a corroboración.</w:t>
      </w:r>
    </w:p>
    <w:p>
      <w:pPr>
        <w:spacing w:after="240" w:lineRule="auto"/>
        <w:jc w:val="both"/>
        <w:rPr>
          <w:rFonts w:ascii="Georgia" w:cs="Georgia" w:eastAsia="Georgia" w:hAnsi="Georgia"/>
        </w:rPr>
      </w:pPr>
      <w:r>
        <w:rPr>
          <w:rFonts w:ascii="Georgia" w:cs="Georgia" w:eastAsia="Georgia" w:hAnsi="Georgia"/>
        </w:rPr>
        <w:t xml:space="preserve">Alcance: revisión estructural del repositorio y revisión focalizada de seis fuentes externas sobre conectividad, plataformas y difusión. No incluye auditoría de cuentas sociales, encuesta representativa de audiencia, comprobación externa completa del diagnóstico ni resultados de un experimento ejecutado.</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Agua  Redes sociales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000000"/>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000000"/>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000000"/>
    </w:rPr>
  </w:style>
  <w:style w:type="paragraph" w:styleId="Heading4">
    <w:name w:val="heading 4"/>
    <w:basedOn w:val="Normal"/>
    <w:next w:val="Normal"/>
    <w:pPr>
      <w:keepNext w:val="1"/>
      <w:keepLines w:val="1"/>
      <w:spacing w:after="40" w:before="80" w:lineRule="auto"/>
    </w:pPr>
    <w:rPr>
      <w:i w:val="1"/>
      <w:iCs w:val="1"/>
      <w:color w:val="000000"/>
    </w:rPr>
  </w:style>
  <w:style w:type="paragraph" w:styleId="Heading5">
    <w:name w:val="heading 5"/>
    <w:basedOn w:val="Normal"/>
    <w:next w:val="Normal"/>
    <w:pPr>
      <w:keepNext w:val="1"/>
      <w:keepLines w:val="1"/>
      <w:spacing w:after="40" w:before="80" w:lineRule="auto"/>
    </w:pPr>
    <w:rPr>
      <w:color w:val="000000"/>
    </w:rPr>
  </w:style>
  <w:style w:type="paragraph" w:styleId="Heading6">
    <w:name w:val="heading 6"/>
    <w:basedOn w:val="Normal"/>
    <w:next w:val="Normal"/>
    <w:pPr>
      <w:keepNext w:val="1"/>
      <w:keepLines w:val="1"/>
      <w:spacing w:before="40" w:lineRule="auto"/>
    </w:pPr>
    <w:rPr>
      <w:i w:val="1"/>
      <w:iCs w:val="1"/>
      <w:color w:val="000000"/>
    </w:rPr>
  </w:style>
  <w:style w:type="paragraph" w:styleId="Title">
    <w:name w:val="Title"/>
    <w:basedOn w:val="Normal"/>
    <w:next w:val="Normal"/>
    <w:pPr>
      <w:spacing w:after="80" w:lineRule="auto"/>
      <w:jc w:val="center"/>
    </w:pPr>
    <w:rPr>
      <w:b w:val="1"/>
      <w:bCs w:val="1"/>
      <w:color w:val="000000"/>
      <w:sz w:val="80"/>
      <w:szCs w:val="80"/>
    </w:rPr>
  </w:style>
  <w:style w:type="paragraph" w:styleId="Subtitle">
    <w:name w:val="Subtitle"/>
    <w:basedOn w:val="Normal"/>
    <w:next w:val="Normal"/>
    <w:pPr/>
    <w:rPr>
      <w:color w:val="00000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101" Type="http://schemas.openxmlformats.org/officeDocument/2006/relationships/hyperlink" Target="https://www.inegi.org.mx/contenidos/saladeprensa/boletines/2026/endutih/ENDUTIH_25_RR.pdf" TargetMode="External"/><Relationship Id="rId102" Type="http://schemas.openxmlformats.org/officeDocument/2006/relationships/hyperlink" Target="https://support.google.com/youtube/answer/11914225?hl=en-GB" TargetMode="External"/><Relationship Id="rId103" Type="http://schemas.openxmlformats.org/officeDocument/2006/relationships/hyperlink" Target="https://about.fb.com/ltam/news/2024/05/ayudando-a-los-creadores-a-encontrar-nuevas-audiencias/" TargetMode="External"/><Relationship Id="rId104" Type="http://schemas.openxmlformats.org/officeDocument/2006/relationships/hyperlink" Target="https://support.tiktok.com/en/using-tiktok/exploring-videos/how-tiktok-recommends-content" TargetMode="External"/><Relationship Id="rId105" Type="http://schemas.openxmlformats.org/officeDocument/2006/relationships/hyperlink" Target="https://doi.org/10.1509/jmr.10.0353" TargetMode="External"/><Relationship Id="rId106" Type="http://schemas.openxmlformats.org/officeDocument/2006/relationships/hyperlink" Target="https://doi.org/10.1038/s41586-021-0334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