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  <w:sz w:val="16"/>
          <w:szCs w:val="16"/>
          <w:highlight w:val="none"/>
          <w:shd w:fill="auto" w:val="clear"/>
          <w:lang w:val="pt-BR"/>
        </w:rPr>
      </w:pPr>
      <w:r>
        <w:rPr>
          <w:sz w:val="16"/>
          <w:szCs w:val="16"/>
          <w:shd w:fill="auto" w:val="clear"/>
          <w:lang w:val="pt-BR"/>
        </w:rPr>
      </w:r>
    </w:p>
    <w:p>
      <w:pPr>
        <w:pStyle w:val="Normal"/>
        <w:bidi w:val="0"/>
        <w:jc w:val="left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shd w:fill="auto" w:val="clear"/>
          <w:lang w:val="pt-BR"/>
        </w:rPr>
        <w:t>Jornada Sales Lab V.Tal</w:t>
      </w:r>
    </w:p>
    <w:p>
      <w:pPr>
        <w:pStyle w:val="Normal"/>
        <w:bidi w:val="0"/>
        <w:jc w:val="left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shd w:fill="auto" w:val="clear"/>
          <w:lang w:val="pt-BR"/>
        </w:rPr>
        <w:t>Etapas de Avaliação de Risco de Fraude e Crédito</w:t>
      </w:r>
    </w:p>
    <w:p>
      <w:pPr>
        <w:pStyle w:val="Normal"/>
        <w:bidi w:val="0"/>
        <w:jc w:val="left"/>
        <w:rPr>
          <w:sz w:val="16"/>
          <w:szCs w:val="16"/>
        </w:rPr>
      </w:pPr>
      <w:r>
        <w:rPr>
          <w:b/>
          <w:bCs/>
          <w:i/>
          <w:iCs/>
          <w:color w:val="FF0000"/>
          <w:sz w:val="16"/>
          <w:szCs w:val="16"/>
          <w:shd w:fill="auto" w:val="clear"/>
          <w:lang w:val="pt-BR"/>
        </w:rPr>
        <w:t>Preliminar – para discussão</w:t>
      </w:r>
    </w:p>
    <w:p>
      <w:pPr>
        <w:pStyle w:val="Normal"/>
        <w:bidi w:val="0"/>
        <w:jc w:val="left"/>
        <w:rPr>
          <w:rFonts w:ascii="Liberation Serif" w:hAnsi="Liberation Serif"/>
          <w:sz w:val="16"/>
          <w:szCs w:val="16"/>
          <w:highlight w:val="none"/>
          <w:shd w:fill="auto" w:val="clear"/>
          <w:lang w:val="pt-BR"/>
        </w:rPr>
      </w:pPr>
      <w:r>
        <w:rPr>
          <w:sz w:val="16"/>
          <w:szCs w:val="16"/>
          <w:shd w:fill="auto" w:val="clear"/>
          <w:lang w:val="pt-BR"/>
        </w:rPr>
      </w:r>
    </w:p>
    <w:p>
      <w:pPr>
        <w:pStyle w:val="Normal"/>
        <w:bidi w:val="0"/>
        <w:jc w:val="left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shd w:fill="auto" w:val="clear"/>
          <w:lang w:val="pt-BR"/>
        </w:rPr>
        <w:t>Etapas da Jornada e Escopo deste Documento</w:t>
      </w:r>
    </w:p>
    <w:p>
      <w:pPr>
        <w:pStyle w:val="Normal"/>
        <w:bidi w:val="0"/>
        <w:jc w:val="left"/>
        <w:rPr>
          <w:rFonts w:ascii="Liberation Serif" w:hAnsi="Liberation Serif"/>
          <w:sz w:val="16"/>
          <w:szCs w:val="16"/>
          <w:highlight w:val="none"/>
          <w:shd w:fill="auto" w:val="clear"/>
          <w:lang w:val="pt-BR"/>
        </w:rPr>
      </w:pPr>
      <w:r>
        <w:rPr>
          <w:sz w:val="16"/>
          <w:szCs w:val="16"/>
          <w:shd w:fill="auto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Etapa da Jornada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Escopo deste Documento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1. Escolha inicial do plano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Não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2. Teste de viabilidade técnica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Não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3. Confirmação do plano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Não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4. Coleta de informações cadastrais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Sim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5. Informações de pagamento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Não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6. Informações de instalação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Não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7. Resumo do pedido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Não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8. Upload de documentos pessoais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Sim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9. Upload outros documentos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Sim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10. Autenticação de usuário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Não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11. Auditoria automatizada com IA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Sim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12. Confirmação da instalação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Não</w:t>
            </w:r>
          </w:p>
        </w:tc>
      </w:tr>
    </w:tbl>
    <w:p>
      <w:pPr>
        <w:pStyle w:val="Normal"/>
        <w:bidi w:val="0"/>
        <w:jc w:val="left"/>
        <w:rPr>
          <w:rFonts w:ascii="Liberation Serif" w:hAnsi="Liberation Serif"/>
          <w:sz w:val="16"/>
          <w:szCs w:val="16"/>
          <w:highlight w:val="none"/>
          <w:shd w:fill="auto" w:val="clear"/>
          <w:lang w:val="pt-BR"/>
        </w:rPr>
      </w:pPr>
      <w:r>
        <w:rPr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shd w:fill="auto" w:val="clear"/>
          <w:lang w:val="pt-BR"/>
        </w:rPr>
        <w:t>4. Coleta de informações cadastrais</w:t>
      </w:r>
    </w:p>
    <w:p>
      <w:pPr>
        <w:pStyle w:val="TableContents"/>
        <w:bidi w:val="0"/>
        <w:jc w:val="left"/>
        <w:rPr>
          <w:rFonts w:ascii="Liberation Serif" w:hAnsi="Liberation Serif"/>
          <w:sz w:val="16"/>
          <w:szCs w:val="16"/>
          <w:highlight w:val="none"/>
          <w:shd w:fill="auto" w:val="clear"/>
          <w:lang w:val="pt-BR"/>
        </w:rPr>
      </w:pPr>
      <w:r>
        <w:rPr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sz w:val="16"/>
          <w:szCs w:val="16"/>
        </w:rPr>
      </w:pPr>
      <w:r>
        <w:rPr>
          <w:i/>
          <w:iCs/>
          <w:sz w:val="16"/>
          <w:szCs w:val="16"/>
          <w:shd w:fill="auto" w:val="clear"/>
          <w:lang w:val="pt-BR"/>
        </w:rPr>
        <w:t>Consulta Serasa Infomais</w:t>
      </w:r>
    </w:p>
    <w:p>
      <w:pPr>
        <w:pStyle w:val="TableContents"/>
        <w:bidi w:val="0"/>
        <w:jc w:val="left"/>
        <w:rPr>
          <w:rFonts w:ascii="Liberation Serif" w:hAnsi="Liberation Serif"/>
          <w:sz w:val="16"/>
          <w:szCs w:val="16"/>
          <w:highlight w:val="none"/>
          <w:shd w:fill="auto" w:val="clear"/>
          <w:lang w:val="pt-BR"/>
        </w:rPr>
      </w:pPr>
      <w:r>
        <w:rPr>
          <w:sz w:val="16"/>
          <w:szCs w:val="16"/>
          <w:shd w:fill="auto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Baixo risco de crédito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Médio risco de crédito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 (primeiras 100 vendas)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Alto risco de crédito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 (primeiras 100 vendas)</w:t>
            </w:r>
          </w:p>
        </w:tc>
      </w:tr>
    </w:tbl>
    <w:p>
      <w:pPr>
        <w:pStyle w:val="TableContents"/>
        <w:bidi w:val="0"/>
        <w:jc w:val="left"/>
        <w:rPr>
          <w:rFonts w:ascii="Liberation Serif" w:hAnsi="Liberation Serif"/>
          <w:sz w:val="16"/>
          <w:szCs w:val="16"/>
          <w:highlight w:val="none"/>
          <w:shd w:fill="auto" w:val="clear"/>
          <w:lang w:val="pt-BR"/>
        </w:rPr>
      </w:pPr>
      <w:r>
        <w:rPr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shd w:fill="auto" w:val="clear"/>
          <w:lang w:val="pt-BR"/>
        </w:rPr>
        <w:t>8. Upload de documentos pessoais</w:t>
      </w:r>
    </w:p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/>
          <w:bCs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sz w:val="16"/>
          <w:szCs w:val="16"/>
          <w:u w:val="single"/>
        </w:rPr>
      </w:pPr>
      <w:r>
        <w:rPr>
          <w:b w:val="false"/>
          <w:bCs w:val="false"/>
          <w:i/>
          <w:iCs/>
          <w:sz w:val="16"/>
          <w:szCs w:val="16"/>
          <w:u w:val="single"/>
          <w:shd w:fill="auto" w:val="clear"/>
          <w:lang w:val="pt-BR"/>
        </w:rPr>
        <w:t>RG / CNH frente e verso (do cliente PF ou integrante do contrato social PJ)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Documento válido: imagem frente e verso, emitido por órgão oficial brasileiro.</w:t>
              <w:br/>
              <w:t>- Legibilidade: todos os dados (nome, filiação, data de nascimento, número do documento, foto e assinatura) devem estar claros e sem cortes.</w:t>
              <w:br/>
              <w:t>- Atualidade: documento dentro da validade (CNH vencida não é aceita).</w:t>
              <w:br/>
              <w:t>- Correspondência: dados coincidem com os informados na venda (nome completo, CPF, data de nascimento).</w:t>
              <w:br/>
              <w:t>- Foto compatível: sem sinais de fraude (ex.: foto trocada ou montagem).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Não entregar documento</w:t>
            </w:r>
          </w:p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Documento ilegível: borrado, com reflexo, cortado ou de baixa resolução.</w:t>
              <w:br/>
              <w:t>- Documento inválido: cópia de cópia, documento danificado, rasgado ou adulterado.</w:t>
              <w:br/>
              <w:t>- Documento vencido: CNH expirada.</w:t>
              <w:br/>
              <w:t>- Dados divergentes: nome ou data de nascimento não batem com o cadastro.</w:t>
              <w:br/>
              <w:t>- Documento incompleto: envio apenas de frente sem o verso (quando necessário).</w:t>
              <w:br/>
              <w:t>- Documento não oficial: carteirinhas, crachás, boletos ou prints de sistemas internos.</w:t>
              <w:br/>
              <w:t>- Tentativa de fraude: documento editado digitalmente, uso de documentos de terceiros.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Reprovado como cliente</w:t>
            </w:r>
          </w:p>
        </w:tc>
      </w:tr>
    </w:tbl>
    <w:p>
      <w:pPr>
        <w:pStyle w:val="TableContents"/>
        <w:bidi w:val="0"/>
        <w:jc w:val="lef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  <w:t>Biometria + Liveness (Serasa)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700 a 1.000: Sem risco aparente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501 a 699: Inconclusivo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Auditoria avaliar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500: Inédito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Auditoria avaliar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0 a 499: Com risco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Reprovado como cliente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Sem score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Reprovado como cliente</w:t>
            </w:r>
          </w:p>
        </w:tc>
      </w:tr>
    </w:tbl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/>
          <w:b/>
          <w:bCs/>
          <w:i/>
          <w:i/>
          <w:iCs/>
          <w:sz w:val="16"/>
          <w:szCs w:val="16"/>
          <w:shd w:fill="auto" w:val="clear"/>
          <w:lang w:val="pt-BR"/>
        </w:rPr>
      </w:pPr>
      <w:r>
        <w:rPr>
          <w:b/>
          <w:bCs/>
          <w:i/>
          <w:iCs/>
          <w:sz w:val="16"/>
          <w:szCs w:val="16"/>
          <w:shd w:fill="auto" w:val="clear"/>
          <w:lang w:val="pt-BR"/>
        </w:rPr>
        <w:t>9. Upload outros documentos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  <w:t>Comprovante de Residência - Contas (pendente discussão ClearSale)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Documento válido: contas de consumo (água, luz, gás, telefone fixo), bancos e faturas de cartão de crédito</w:t>
              <w:br/>
              <w:t>- Atualidade: emitido há no máximo 90 dias</w:t>
              <w:br/>
              <w:t>- Nome compatível: em nome do titular da linha ou de parente de 1º grau (pais, filhos, cônjuge).</w:t>
              <w:br/>
              <w:t>- Endereço completo: rua, número, complemento, bairro, cidade, estado e CEP legíveis.</w:t>
              <w:br/>
              <w:t>- Legibilidade: boa resolução, sem cortes ou borrões.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</w:t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  <w:lang w:val="pt-BR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  <w:lang w:val="pt-BR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Comprovante de residência não entregue</w:t>
            </w:r>
          </w:p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Documento inválido: outros tipos de conta não especificados acima (internet, TV a cabo, … )</w:t>
            </w:r>
          </w:p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Documento ilegível: borrado, cortado, com reflexo ou sem nitidez.</w:t>
              <w:br/>
              <w:t>- Documento antigo: superior ao prazo aceito (Mais de 90 dias).</w:t>
              <w:br/>
              <w:t>- Documento inválido: correspondências não oficiais (revistas, propagandas, envelopes sem timbre oficial).</w:t>
              <w:br/>
              <w:t>- Dados divergentes: endereço não bate com o informado na venda.</w:t>
              <w:br/>
              <w:t>- Nome incompatível: documento em nome de terceiro que não seja parente de 1º grau (pais, filhos, cônjuge).</w:t>
              <w:br/>
              <w:t>- Documento incompleto: ausência de CEP, cidade ou logradouro.</w:t>
              <w:br/>
              <w:t>- Tentativa de fraude: comprovante adulterado digitalmente ou com indícios de montagem.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Reprovado como cliente</w:t>
            </w:r>
          </w:p>
        </w:tc>
      </w:tr>
    </w:tbl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  <w:t>Alternativa Comprovante de Residência – Contrato de Aluguel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Documento válido: contrato de locação residencial com assinatura das partes (locador e locatário).</w:t>
              <w:br/>
              <w:t>- Atualidade: contrato dentro do prazo de vigência; se vencido, deve ter aditivo ou termo de renovação.</w:t>
              <w:br/>
              <w:t>- Nome compatível: contrato em nome do cliente ou parente em 1º grau</w:t>
              <w:br/>
              <w:t>- Endereço completo: logradouro, número, complemento, bairro, cidade, estado e CEP legíveis.</w:t>
              <w:br/>
              <w:t>- Reconhecimento de firma / assinatura: não obrigatório em todos os casos, mas fortalece a validade.</w:t>
              <w:br/>
              <w:t>- Legibilidade: todas as páginas relevantes (identificação do imóvel, das partes e assinaturas) devem estar claras.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Comprovante de residência não entregue</w:t>
            </w:r>
          </w:p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Documento incompleto: envio apenas de página de assinatura sem identificação do endereço ou do locatário.</w:t>
              <w:br/>
              <w:t>- Documento vencido: contrato expirado sem aditivo de renovação.</w:t>
              <w:br/>
              <w:t>- Nome incompatível: contrato em nome de terceiro sem vínculo aceito.</w:t>
              <w:br/>
              <w:t>- Endereço divergente: não coincide com o informado na venda.</w:t>
              <w:br/>
              <w:t>- Documento ilegível: cortes, borrões, baixa resolução ou ausência de páginas essenciais.</w:t>
              <w:br/>
              <w:t>- Documento inválido: minutas de contrato sem assinatura, recibos avulsos ou contratos não formais.</w:t>
              <w:br/>
              <w:t>- Tentativa de fraude: contrato adulterado, editado digitalmente ou com indícios de montagem.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Reprovado como cliente</w:t>
            </w:r>
          </w:p>
        </w:tc>
      </w:tr>
    </w:tbl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lang w:val="pt-BR"/>
        </w:rPr>
      </w:pPr>
      <w:r>
        <w:rPr>
          <w:b w:val="false"/>
          <w:bCs w:val="false"/>
          <w:i/>
          <w:iCs/>
          <w:sz w:val="16"/>
          <w:szCs w:val="16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  <w:t>Alternativa Comprovante de Residência – Declaração registrada em Cartório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Documento válido: declaração conforme modelo SalesLab, registrada em cartório com firma reconhecida e/ou autenticação notarial.</w:t>
              <w:br/>
              <w:t>- Nome compatível: em nome do titular da linha, conforme cadastro.</w:t>
              <w:br/>
              <w:t>- Endereço completo: deve constar logradouro, número, complemento, bairro, cidade, estado e CEP.</w:t>
              <w:br/>
              <w:t>- Reconhecimento cartorial: assinatura com selo/timbre do cartório visível e válido.</w:t>
              <w:br/>
              <w:t>- Legibilidade: imagem nítida, sem cortes ou borrões.</w:t>
              <w:br/>
              <w:t>- Atualidade: declaração feita há no máximo 90 dias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- Documento sem registro: apenas declaração simples, sem autenticação cartorial.</w:t>
              <w:br/>
              <w:t>- Nome incompatível: emitida em nome de terceiro não aceito (sem vínculo direto).</w:t>
              <w:br/>
              <w:t>- Endereço incompleto: ausência de dados essenciais (CEP, cidade ou número).</w:t>
              <w:br/>
              <w:t>- Documento ilegível: cortes, sombras, borrões ou baixa resolução que inviabilizem leitura.</w:t>
              <w:br/>
              <w:t>- Documento desatualizado: fora do prazo aceito pela política interna (quando aplicável).</w:t>
              <w:br/>
              <w:t>- Tentativa de fraude: declarações adulteradas digitalmente ou com selo cartorial inválido/incoerente.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Reprovado como cliente</w:t>
            </w:r>
          </w:p>
        </w:tc>
      </w:tr>
    </w:tbl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br w:type="column"/>
      </w: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  <w:t>Contrato Social – se PJ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sz w:val="16"/>
                <w:szCs w:val="16"/>
                <w:shd w:fill="auto" w:val="clear"/>
              </w:rPr>
              <w:t>- Documento válido: contrato social ou alteração consolidada registrada na Junta Comercial (com carimbo, número de registro e todas as páginas).</w:t>
              <w:br/>
              <w:t>- Atualidade: versão mais recente e vigente (inclusive após alterações societárias, se houver).</w:t>
              <w:br/>
              <w:t>- Quadro societário completo: identificação clara dos sócios e administradores, com CPF/CNPJ e poderes de administração definidos.</w:t>
              <w:br/>
              <w:t>- Representação legal válida: administrador ou sócio com poderes de assinatura é o mesmo que assina a proposta ou contrato de telecom.</w:t>
              <w:br/>
              <w:t>- Dados compatíveis: razão social, CNPJ e endereço iguais aos informados na proposta comercial e na Receita Federal.</w:t>
              <w:br/>
              <w:t>- Objeto social compatível: atividades empresariais que justifiquem a contratação de serviços de telecomunicações (ex.: comércio, serviços, indústria, tecnologia etc.).</w:t>
              <w:br/>
              <w:t>- Registro legível: boa resolução, todas as páginas legíveis, sem cortes, manchas ou reflexos.</w:t>
              <w:br/>
              <w:t>- Comprovação de filial (se aplicável): em caso de instalação em endereço diferente da sede, apresentar aditivo ou documento que comprove a filial.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  <w:lang w:val="pt-BR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sz w:val="16"/>
                <w:szCs w:val="16"/>
                <w:shd w:fill="auto" w:val="clear"/>
              </w:rPr>
              <w:t>- Documento não entregue: ausência total do contrato social ou alteração vigente.</w:t>
              <w:br/>
              <w:t>- Documento inválido: minuta sem registro na Junta Comercial, rascunho ou documento sem carimbo/assinatura oficial.</w:t>
              <w:br/>
              <w:t>- Documento desatualizado: versão antiga sem as alterações mais recentes de sócios ou administradores.</w:t>
              <w:br/>
              <w:t>- Documento ilegível: páginas cortadas, borradas, com sombras ou baixa qualidade que impeçam leitura.</w:t>
              <w:br/>
              <w:t>- Dados divergentes: razão social, CNPJ ou endereço diferentes do informado na venda ou da Receita Federal.</w:t>
              <w:br/>
              <w:t>- Assinatura inválida: pessoa que assina a proposta não consta como administrador ou procurador no contrato.</w:t>
              <w:br/>
              <w:t>- Objeto social incompatível: atividades sem relação comercial (ex.: associações, ONGs, igrejas, clubes sem fins lucrativos).</w:t>
              <w:br/>
              <w:t>- Procuração inválida: vencida, sem firma reconhecida ou sem poderes específicos para assinatura de contratos.</w:t>
              <w:br/>
              <w:t>- Tentativa de fraude: contrato adulterado digitalmente, montagem de páginas de diferentes empresas ou uso de CNPJ de fachada.</w:t>
              <w:br/>
              <w:t>- Documento incompleto: ausência de páginas, anexos obrigatórios ou partes essenciais (ex.: cláusula de administração).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sz w:val="16"/>
                <w:szCs w:val="16"/>
                <w:shd w:fill="auto" w:val="clear"/>
              </w:rPr>
            </w:r>
          </w:p>
        </w:tc>
      </w:tr>
    </w:tbl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br w:type="column"/>
      </w: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  <w:t>Contrato Social – se PJ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auto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sz w:val="16"/>
                <w:szCs w:val="16"/>
                <w:shd w:fill="auto" w:val="clear"/>
              </w:rPr>
              <w:t>- Documento válido: contrato social ou alteração consolidada registrada na Junta Comercial (com carimbo, número de registro e todas as páginas).</w:t>
              <w:br/>
              <w:t>- Atualidade: versão mais recente e vigente (inclusive após alterações societárias, se houver).</w:t>
              <w:br/>
              <w:t>- Quadro societário completo: identificação clara dos sócios e administradores, com CPF/CNPJ e poderes de administração definidos.</w:t>
              <w:br/>
              <w:t>- Representação legal válida: administrador ou sócio com poderes de assinatura é o mesmo que assina a proposta ou contrato de telecom.</w:t>
              <w:br/>
              <w:t>- Dados compatíveis: razão social, CNPJ e endereço iguais aos informados na proposta comercial e na Receita Federal.</w:t>
              <w:br/>
              <w:t>- Objeto social compatível: atividades empresariais que justifiquem a contratação de serviços de telecomunicações (ex.: comércio, serviços, indústria, tecnologia etc.).</w:t>
              <w:br/>
              <w:t>- Registro legível: boa resolução, todas as páginas legíveis, sem cortes, manchas ou reflexos.</w:t>
              <w:br/>
              <w:t>- Comprovação de filial (se aplicável): em caso de instalação em endereço diferente da sede, apresentar aditivo ou documento que comprove a filial.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  <w:lang w:val="pt-BR"/>
              </w:rPr>
            </w:pPr>
            <w:r>
              <w:rPr>
                <w:sz w:val="16"/>
                <w:szCs w:val="16"/>
                <w:shd w:fill="auto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sz w:val="16"/>
                <w:szCs w:val="16"/>
                <w:shd w:fill="auto" w:val="clear"/>
              </w:rPr>
              <w:t>- Documento não entregue: ausência total do contrato social ou alteração vigente.</w:t>
              <w:br/>
              <w:t>- Documento inválido: minuta sem registro na Junta Comercial, rascunho ou documento sem carimbo/assinatura oficial.</w:t>
              <w:br/>
              <w:t>- Documento desatualizado: versão antiga sem as alterações mais recentes de sócios ou administradores.</w:t>
              <w:br/>
              <w:t>- Documento ilegível: páginas cortadas, borradas, com sombras ou baixa qualidade que impeçam leitura.</w:t>
              <w:br/>
              <w:t>- Dados divergentes: razão social, CNPJ ou endereço diferentes do informado na venda ou da Receita Federal.</w:t>
              <w:br/>
              <w:t>- Assinatura inválida: pessoa que assina a proposta não consta como administrador ou procurador no contrato.</w:t>
              <w:br/>
              <w:t>- Objeto social incompatível: atividades sem relação comercial (ex.: associações, ONGs, igrejas, clubes sem fins lucrativos).</w:t>
              <w:br/>
              <w:t>- Procuração inválida: vencida, sem firma reconhecida ou sem poderes específicos para assinatura de contratos.</w:t>
              <w:br/>
              <w:t>- Tentativa de fraude: contrato adulterado digitalmente, montagem de páginas de diferentes empresas ou uso de CNPJ de fachada.</w:t>
              <w:br/>
              <w:t>- Documento incompleto: ausência de páginas, anexos obrigatórios ou partes essenciais (ex.: cláusula de administração).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sz w:val="16"/>
                <w:szCs w:val="16"/>
                <w:shd w:fill="auto" w:val="clear"/>
              </w:rPr>
            </w:r>
          </w:p>
        </w:tc>
      </w:tr>
    </w:tbl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br w:type="column"/>
      </w:r>
      <w:r>
        <w:rPr>
          <w:b/>
          <w:bCs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  <w:shd w:fill="auto" w:val="clear"/>
          <w:lang w:val="pt-BR"/>
        </w:rPr>
        <w:t>11. Auditoria automatizada com IA</w:t>
      </w:r>
    </w:p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/>
          <w:bCs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FF00" w:val="clear"/>
        </w:rPr>
      </w:pPr>
      <w:r>
        <w:rPr>
          <w:b w:val="false"/>
          <w:bCs w:val="false"/>
          <w:i w:val="false"/>
          <w:iCs w:val="false"/>
          <w:sz w:val="16"/>
          <w:szCs w:val="16"/>
          <w:shd w:fill="FFFF00" w:val="clear"/>
          <w:lang w:val="pt-BR"/>
        </w:rPr>
        <w:t>Teste de Viabilidade</w:t>
      </w:r>
    </w:p>
    <w:p>
      <w:pPr>
        <w:pStyle w:val="TableContents"/>
        <w:bidi w:val="0"/>
        <w:jc w:val="left"/>
        <w:rPr>
          <w:sz w:val="16"/>
          <w:szCs w:val="16"/>
          <w:highlight w:val="none"/>
          <w:shd w:fill="FFFF00" w:val="clear"/>
        </w:rPr>
      </w:pPr>
      <w:r>
        <w:rPr>
          <w:sz w:val="16"/>
          <w:szCs w:val="16"/>
          <w:shd w:fill="FFFF00" w:val="clear"/>
        </w:rPr>
      </w:r>
    </w:p>
    <w:p>
      <w:pPr>
        <w:pStyle w:val="TableContents"/>
        <w:suppressAutoHyphens w:val="true"/>
        <w:bidi w:val="0"/>
        <w:spacing w:before="0" w:after="0"/>
        <w:jc w:val="left"/>
        <w:rPr>
          <w:highlight w:val="none"/>
          <w:shd w:fill="FFFF00" w:val="clear"/>
        </w:rPr>
      </w:pPr>
      <w:r>
        <w:rPr>
          <w:rFonts w:eastAsia="NSimSun" w:cs="Arial"/>
          <w:b w:val="false"/>
          <w:bCs w:val="false"/>
          <w:i w:val="false"/>
          <w:iCs w:val="false"/>
          <w:color w:val="000000"/>
          <w:kern w:val="2"/>
          <w:sz w:val="16"/>
          <w:szCs w:val="16"/>
          <w:u w:val="single"/>
          <w:shd w:fill="FFFF00" w:val="clear"/>
          <w:lang w:val="pt-BR" w:eastAsia="zh-CN" w:bidi="hi-IN"/>
        </w:rPr>
        <w:t>Confirmar endereço e resultado positivo de viabilidade</w:t>
      </w:r>
    </w:p>
    <w:p>
      <w:pPr>
        <w:pStyle w:val="TableContents"/>
        <w:bidi w:val="0"/>
        <w:jc w:val="lef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ableContents"/>
        <w:bidi w:val="0"/>
        <w:jc w:val="left"/>
        <w:rPr>
          <w:highlight w:val="none"/>
          <w:shd w:fill="AFD095" w:val="clear"/>
        </w:rPr>
      </w:pPr>
      <w:r>
        <w:rPr>
          <w:b w:val="false"/>
          <w:bCs w:val="false"/>
          <w:i w:val="false"/>
          <w:iCs w:val="false"/>
          <w:sz w:val="16"/>
          <w:szCs w:val="16"/>
          <w:shd w:fill="AFD095" w:val="clear"/>
          <w:lang w:val="pt-BR"/>
        </w:rPr>
        <w:t>Biometria</w:t>
      </w:r>
    </w:p>
    <w:p>
      <w:pPr>
        <w:pStyle w:val="TableContents"/>
        <w:bidi w:val="0"/>
        <w:jc w:val="left"/>
        <w:rPr>
          <w:sz w:val="16"/>
          <w:szCs w:val="16"/>
          <w:highlight w:val="none"/>
          <w:shd w:fill="AFD095" w:val="clear"/>
        </w:rPr>
      </w:pPr>
      <w:r>
        <w:rPr>
          <w:sz w:val="16"/>
          <w:szCs w:val="16"/>
          <w:shd w:fill="AFD095" w:val="clear"/>
        </w:rPr>
      </w:r>
    </w:p>
    <w:p>
      <w:pPr>
        <w:pStyle w:val="TableContents"/>
        <w:suppressAutoHyphens w:val="true"/>
        <w:bidi w:val="0"/>
        <w:spacing w:before="0" w:after="0"/>
        <w:jc w:val="left"/>
        <w:rPr>
          <w:highlight w:val="none"/>
          <w:shd w:fill="AFD095" w:val="clear"/>
        </w:rPr>
      </w:pPr>
      <w:r>
        <w:rPr>
          <w:rFonts w:eastAsia="NSimSun" w:cs="Arial"/>
          <w:b w:val="false"/>
          <w:bCs w:val="false"/>
          <w:i w:val="false"/>
          <w:iCs w:val="false"/>
          <w:color w:val="000000"/>
          <w:kern w:val="2"/>
          <w:sz w:val="16"/>
          <w:szCs w:val="16"/>
          <w:u w:val="single"/>
          <w:shd w:fill="AFD095" w:val="clear"/>
          <w:lang w:val="pt-BR" w:eastAsia="zh-CN" w:bidi="hi-IN"/>
        </w:rPr>
        <w:t>Conforme especificado acima</w:t>
      </w:r>
    </w:p>
    <w:p>
      <w:pPr>
        <w:pStyle w:val="TableContents"/>
        <w:bidi w:val="0"/>
        <w:jc w:val="left"/>
        <w:rPr>
          <w:sz w:val="16"/>
          <w:szCs w:val="16"/>
          <w:highlight w:val="none"/>
          <w:shd w:fill="AFD095" w:val="clear"/>
        </w:rPr>
      </w:pPr>
      <w:r>
        <w:rPr>
          <w:sz w:val="16"/>
          <w:szCs w:val="16"/>
          <w:shd w:fill="AFD095" w:val="clear"/>
        </w:rPr>
      </w:r>
    </w:p>
    <w:p>
      <w:pPr>
        <w:pStyle w:val="TableContents"/>
        <w:bidi w:val="0"/>
        <w:jc w:val="left"/>
        <w:rPr>
          <w:highlight w:val="none"/>
          <w:shd w:fill="AFD095" w:val="clear"/>
        </w:rPr>
      </w:pPr>
      <w:r>
        <w:rPr>
          <w:b w:val="false"/>
          <w:bCs w:val="false"/>
          <w:i/>
          <w:iCs/>
          <w:sz w:val="16"/>
          <w:szCs w:val="16"/>
          <w:shd w:fill="AFD095" w:val="clear"/>
          <w:lang w:val="pt-BR"/>
        </w:rPr>
        <w:t>RG / CNH frente e verso (cliente PF ou administrador cliente PJ)</w:t>
      </w:r>
    </w:p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AFD095" w:val="clear"/>
          <w:lang w:val="pt-BR"/>
        </w:rPr>
      </w:pPr>
      <w:r>
        <w:rPr>
          <w:b/>
          <w:bCs/>
          <w:i/>
          <w:iCs/>
          <w:sz w:val="16"/>
          <w:szCs w:val="16"/>
          <w:shd w:fill="AFD095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AFD095" w:val="clear"/>
        </w:rPr>
      </w:pPr>
      <w:r>
        <w:rPr>
          <w:b w:val="false"/>
          <w:bCs w:val="false"/>
          <w:i w:val="false"/>
          <w:iCs w:val="false"/>
          <w:sz w:val="16"/>
          <w:szCs w:val="16"/>
          <w:u w:val="single"/>
          <w:shd w:fill="AFD095" w:val="clear"/>
          <w:lang w:val="pt-BR"/>
        </w:rPr>
        <w:t>Conforme especificado acima</w:t>
      </w:r>
    </w:p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AFD095" w:val="clear"/>
          <w:lang w:val="pt-BR"/>
        </w:rPr>
      </w:pPr>
      <w:r>
        <w:rPr>
          <w:b/>
          <w:bCs/>
          <w:i/>
          <w:iCs/>
          <w:sz w:val="16"/>
          <w:szCs w:val="16"/>
          <w:shd w:fill="AFD095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FF00" w:val="clea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  <w:t>Comprovante de Residência - Contas (pendente discussão ClearSale)</w:t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FFFF00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FF00" w:val="clear"/>
        </w:rPr>
      </w:pPr>
      <w:r>
        <w:rPr>
          <w:b w:val="false"/>
          <w:bCs w:val="false"/>
          <w:i w:val="false"/>
          <w:iCs w:val="false"/>
          <w:sz w:val="16"/>
          <w:szCs w:val="16"/>
          <w:u w:val="single"/>
          <w:shd w:fill="FFFF00" w:val="clear"/>
          <w:lang w:val="pt-BR"/>
        </w:rPr>
        <w:t>Conforme especificado acima</w:t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FFFF00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FF00" w:val="clea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  <w:t>Alternativa Comprovante de Residência – Contrato de Aluguel (pendente discussão ClearSale)</w:t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FFFF00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FF00" w:val="clear"/>
        </w:rPr>
      </w:pPr>
      <w:r>
        <w:rPr>
          <w:b w:val="false"/>
          <w:bCs w:val="false"/>
          <w:i w:val="false"/>
          <w:iCs w:val="false"/>
          <w:sz w:val="16"/>
          <w:szCs w:val="16"/>
          <w:u w:val="single"/>
          <w:shd w:fill="FFFF00" w:val="clear"/>
          <w:lang w:val="pt-BR"/>
        </w:rPr>
        <w:t>Conforme especificado acima</w:t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FFFF00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FF00" w:val="clear"/>
        </w:rPr>
      </w:pPr>
      <w:r>
        <w:rPr>
          <w:i/>
          <w:iCs/>
          <w:sz w:val="16"/>
          <w:szCs w:val="16"/>
          <w:shd w:fill="FFFF00" w:val="clear"/>
          <w:lang w:val="pt-BR"/>
        </w:rPr>
        <w:t>Alternativa Comprovante de Residência – Declaração registrada em Cartório (pendente discussão ClearSale)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FFFF00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FF00" w:val="clear"/>
        </w:rPr>
      </w:pPr>
      <w:r>
        <w:rPr>
          <w:b w:val="false"/>
          <w:bCs w:val="false"/>
          <w:i w:val="false"/>
          <w:iCs w:val="false"/>
          <w:sz w:val="16"/>
          <w:szCs w:val="16"/>
          <w:u w:val="single"/>
          <w:shd w:fill="FFFF00" w:val="clear"/>
          <w:lang w:val="pt-BR"/>
        </w:rPr>
        <w:t>Conforme especificado acima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729FCF" w:val="clear"/>
        </w:rPr>
      </w:pPr>
      <w:r>
        <w:rPr>
          <w:b w:val="false"/>
          <w:bCs w:val="false"/>
          <w:i/>
          <w:iCs/>
          <w:sz w:val="16"/>
          <w:szCs w:val="16"/>
          <w:shd w:fill="729FCF" w:val="clear"/>
          <w:lang w:val="pt-BR"/>
        </w:rPr>
        <w:t>Cliente atual V.Tal (depende dados V.Tal)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729FCF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729FCF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729FCF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729FCF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729FCF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729FCF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729FCF" w:val="clear"/>
              </w:rPr>
            </w:pPr>
            <w:r>
              <w:rPr>
                <w:sz w:val="16"/>
                <w:szCs w:val="16"/>
                <w:shd w:fill="729FCF" w:val="clear"/>
                <w:lang w:val="pt-BR"/>
              </w:rPr>
              <w:t>Atualmente não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729FCF" w:val="clear"/>
              </w:rPr>
            </w:pPr>
            <w:r>
              <w:rPr>
                <w:sz w:val="16"/>
                <w:szCs w:val="16"/>
                <w:shd w:fill="729FCF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729FCF" w:val="clear"/>
              </w:rPr>
            </w:pPr>
            <w:r>
              <w:rPr>
                <w:sz w:val="16"/>
                <w:szCs w:val="16"/>
                <w:shd w:fill="729FCF" w:val="clear"/>
                <w:lang w:val="pt-BR"/>
              </w:rPr>
              <w:t>Atualmente sim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729FCF" w:val="clear"/>
              </w:rPr>
            </w:pPr>
            <w:r>
              <w:rPr>
                <w:sz w:val="16"/>
                <w:szCs w:val="16"/>
                <w:shd w:fill="729FCF" w:val="clear"/>
                <w:lang w:val="pt-BR"/>
              </w:rPr>
              <w:t>Reprovado nesta consulta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729FCF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729FCF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729FCF" w:val="clear"/>
        </w:rPr>
      </w:pPr>
      <w:r>
        <w:rPr>
          <w:b w:val="false"/>
          <w:bCs w:val="false"/>
          <w:i/>
          <w:iCs/>
          <w:sz w:val="16"/>
          <w:szCs w:val="16"/>
          <w:shd w:fill="729FCF" w:val="clear"/>
          <w:lang w:val="pt-BR"/>
        </w:rPr>
        <w:t>Quantidade de ONTs V.Tal (on hold)</w:t>
      </w:r>
    </w:p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729FCF" w:val="clear"/>
          <w:lang w:val="pt-BR"/>
        </w:rPr>
      </w:pPr>
      <w:r>
        <w:rPr>
          <w:b/>
          <w:bCs/>
          <w:i/>
          <w:iCs/>
          <w:sz w:val="16"/>
          <w:szCs w:val="16"/>
          <w:shd w:fill="729FCF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729FCF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729FCF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729FCF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729FCF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729FCF" w:val="clear"/>
              </w:rPr>
            </w:pPr>
            <w:r>
              <w:rPr>
                <w:sz w:val="16"/>
                <w:szCs w:val="16"/>
                <w:shd w:fill="729FCF" w:val="clear"/>
                <w:lang w:val="pt-BR"/>
              </w:rPr>
              <w:t>Nenhuma ou até duas (nos últimos seis meses)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729FCF" w:val="clear"/>
              </w:rPr>
            </w:pPr>
            <w:r>
              <w:rPr>
                <w:sz w:val="16"/>
                <w:szCs w:val="16"/>
                <w:shd w:fill="729FCF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729FCF" w:val="clear"/>
              </w:rPr>
            </w:pPr>
            <w:r>
              <w:rPr>
                <w:sz w:val="16"/>
                <w:szCs w:val="16"/>
                <w:shd w:fill="729FCF" w:val="clear"/>
                <w:lang w:val="pt-BR"/>
              </w:rPr>
              <w:t>Três ou mais (nos últimos seis meses)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729FCF" w:val="clear"/>
              </w:rPr>
            </w:pPr>
            <w:r>
              <w:rPr>
                <w:sz w:val="16"/>
                <w:szCs w:val="16"/>
                <w:shd w:fill="729FCF" w:val="clear"/>
                <w:lang w:val="pt-BR"/>
              </w:rPr>
              <w:t>Reprovado nesta consulta</w:t>
            </w:r>
          </w:p>
        </w:tc>
      </w:tr>
    </w:tbl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729FCF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729FCF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FF00" w:val="clea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  <w:t>Google Street View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FFFF00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FFFF00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FFFF00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FFFF00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FFFF00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645795</wp:posOffset>
                  </wp:positionH>
                  <wp:positionV relativeFrom="paragraph">
                    <wp:posOffset>60960</wp:posOffset>
                  </wp:positionV>
                  <wp:extent cx="1800225" cy="1015365"/>
                  <wp:effectExtent l="0" t="0" r="0" b="0"/>
                  <wp:wrapSquare wrapText="largest"/>
                  <wp:docPr id="1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653415</wp:posOffset>
                  </wp:positionH>
                  <wp:positionV relativeFrom="paragraph">
                    <wp:posOffset>30480</wp:posOffset>
                  </wp:positionV>
                  <wp:extent cx="1800225" cy="1090930"/>
                  <wp:effectExtent l="0" t="0" r="0" b="0"/>
                  <wp:wrapSquare wrapText="largest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22432" r="0" b="398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  <w:p>
            <w:pPr>
              <w:pStyle w:val="TableContents"/>
              <w:widowControl w:val="false"/>
              <w:rPr>
                <w:sz w:val="16"/>
                <w:szCs w:val="16"/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</w:rPr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FF00" w:val="clear"/>
              </w:rPr>
            </w:pPr>
            <w:r>
              <w:rPr>
                <w:sz w:val="16"/>
                <w:szCs w:val="16"/>
                <w:shd w:fill="FFFF00" w:val="clear"/>
                <w:lang w:val="pt-BR"/>
              </w:rPr>
              <w:t>Reprovado nesta consulta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FFFF00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FFFF00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A6A6" w:val="clear"/>
        </w:rPr>
      </w:pPr>
      <w:r>
        <w:rPr>
          <w:b w:val="false"/>
          <w:bCs w:val="false"/>
          <w:i/>
          <w:iCs/>
          <w:sz w:val="16"/>
          <w:szCs w:val="16"/>
          <w:shd w:fill="FFA6A6" w:val="clear"/>
          <w:lang w:val="pt-BR"/>
        </w:rPr>
        <w:t>Quantidade de processos judiciais ativos (como réu) - Escavador</w:t>
      </w:r>
    </w:p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FFA6A6" w:val="clear"/>
          <w:lang w:val="pt-BR"/>
        </w:rPr>
      </w:pPr>
      <w:r>
        <w:rPr>
          <w:b/>
          <w:bCs/>
          <w:i/>
          <w:iCs/>
          <w:sz w:val="16"/>
          <w:szCs w:val="16"/>
          <w:shd w:fill="FFA6A6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FFA6A6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FFA6A6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FFA6A6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FFA6A6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A6A6" w:val="clear"/>
              </w:rPr>
            </w:pPr>
            <w:r>
              <w:rPr>
                <w:sz w:val="16"/>
                <w:szCs w:val="16"/>
                <w:shd w:fill="FFA6A6" w:val="clear"/>
                <w:lang w:val="pt-BR"/>
              </w:rPr>
              <w:t>Até quatro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A6A6" w:val="clear"/>
              </w:rPr>
            </w:pPr>
            <w:r>
              <w:rPr>
                <w:sz w:val="16"/>
                <w:szCs w:val="16"/>
                <w:shd w:fill="FFA6A6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A6A6" w:val="clear"/>
              </w:rPr>
            </w:pPr>
            <w:r>
              <w:rPr>
                <w:sz w:val="16"/>
                <w:szCs w:val="16"/>
                <w:shd w:fill="FFA6A6" w:val="clear"/>
                <w:lang w:val="pt-BR"/>
              </w:rPr>
              <w:t>Cinco ou mais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A6A6" w:val="clear"/>
              </w:rPr>
            </w:pPr>
            <w:r>
              <w:rPr>
                <w:sz w:val="16"/>
                <w:szCs w:val="16"/>
                <w:shd w:fill="FFA6A6" w:val="clear"/>
                <w:lang w:val="pt-BR"/>
              </w:rPr>
              <w:t>Reprovado nesta consulta – candidato a taxa ativação 199</w:t>
            </w:r>
          </w:p>
        </w:tc>
      </w:tr>
    </w:tbl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FFA6A6" w:val="clear"/>
          <w:lang w:val="pt-BR"/>
        </w:rPr>
      </w:pPr>
      <w:r>
        <w:rPr>
          <w:b/>
          <w:bCs/>
          <w:i/>
          <w:iCs/>
          <w:sz w:val="16"/>
          <w:szCs w:val="16"/>
          <w:shd w:fill="FFA6A6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FFA6A6" w:val="clear"/>
        </w:rPr>
      </w:pPr>
      <w:r>
        <w:rPr>
          <w:b w:val="false"/>
          <w:bCs w:val="false"/>
          <w:i/>
          <w:iCs/>
          <w:sz w:val="16"/>
          <w:szCs w:val="16"/>
          <w:shd w:fill="FFA6A6" w:val="clear"/>
          <w:lang w:val="pt-BR"/>
        </w:rPr>
        <w:t>Quantidade de processos criminais ativos (como réu) - Escavador</w:t>
      </w:r>
    </w:p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FFA6A6" w:val="clear"/>
          <w:lang w:val="pt-BR"/>
        </w:rPr>
      </w:pPr>
      <w:r>
        <w:rPr>
          <w:b/>
          <w:bCs/>
          <w:i/>
          <w:iCs/>
          <w:sz w:val="16"/>
          <w:szCs w:val="16"/>
          <w:shd w:fill="FFA6A6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FFA6A6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FFA6A6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FFA6A6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FFA6A6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A6A6" w:val="clear"/>
              </w:rPr>
            </w:pPr>
            <w:r>
              <w:rPr>
                <w:sz w:val="16"/>
                <w:szCs w:val="16"/>
                <w:shd w:fill="FFA6A6" w:val="clear"/>
                <w:lang w:val="pt-BR"/>
              </w:rPr>
              <w:t>Nenhum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A6A6" w:val="clear"/>
              </w:rPr>
            </w:pPr>
            <w:r>
              <w:rPr>
                <w:sz w:val="16"/>
                <w:szCs w:val="16"/>
                <w:shd w:fill="FFA6A6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A6A6" w:val="clear"/>
              </w:rPr>
            </w:pPr>
            <w:r>
              <w:rPr>
                <w:sz w:val="16"/>
                <w:szCs w:val="16"/>
                <w:shd w:fill="FFA6A6" w:val="clear"/>
                <w:lang w:val="pt-BR"/>
              </w:rPr>
              <w:t>Um ou mais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FFA6A6" w:val="clear"/>
              </w:rPr>
            </w:pPr>
            <w:r>
              <w:rPr>
                <w:sz w:val="16"/>
                <w:szCs w:val="16"/>
                <w:shd w:fill="FFA6A6" w:val="clear"/>
                <w:lang w:val="pt-BR"/>
              </w:rPr>
              <w:t>Reprovado nesta consulta</w:t>
            </w:r>
          </w:p>
        </w:tc>
      </w:tr>
    </w:tbl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FFA6A6" w:val="clear"/>
          <w:lang w:val="pt-BR"/>
        </w:rPr>
      </w:pPr>
      <w:r>
        <w:rPr>
          <w:b/>
          <w:bCs/>
          <w:i/>
          <w:iCs/>
          <w:sz w:val="16"/>
          <w:szCs w:val="16"/>
          <w:shd w:fill="FFA6A6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BF819E" w:val="clear"/>
        </w:rPr>
      </w:pPr>
      <w:r>
        <w:rPr>
          <w:b w:val="false"/>
          <w:bCs w:val="false"/>
          <w:i/>
          <w:iCs/>
          <w:sz w:val="16"/>
          <w:szCs w:val="16"/>
          <w:shd w:fill="BF819E" w:val="clear"/>
          <w:lang w:val="pt-BR"/>
        </w:rPr>
        <w:t>Status CPF Receita Federal - Serasa</w:t>
      </w:r>
    </w:p>
    <w:p>
      <w:pPr>
        <w:pStyle w:val="TableContents"/>
        <w:bidi w:val="0"/>
        <w:jc w:val="left"/>
        <w:rPr>
          <w:rFonts w:ascii="Liberation Serif" w:hAnsi="Liberation Serif"/>
          <w:b/>
          <w:b/>
          <w:bCs/>
          <w:i/>
          <w:i/>
          <w:iCs/>
          <w:sz w:val="16"/>
          <w:szCs w:val="16"/>
          <w:highlight w:val="none"/>
          <w:shd w:fill="BF819E" w:val="clear"/>
          <w:lang w:val="pt-BR"/>
        </w:rPr>
      </w:pPr>
      <w:r>
        <w:rPr>
          <w:b/>
          <w:bCs/>
          <w:i/>
          <w:iCs/>
          <w:sz w:val="16"/>
          <w:szCs w:val="16"/>
          <w:shd w:fill="BF819E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BF819E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BF819E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BF819E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BF819E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Regular: CPF válido e ativo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Pendente: declarações IR ou outras obrigações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Aprovado nesta consulta (se pendência inferior 12 meses)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Suspenso: cadastro incorreto ou incompleto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Reprovado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Cancelado: por decisão administrativa ou a pedido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Reprovado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Nulo: emitido com irregularidade ou fraude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Reprovado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Titular Falecido: CPF vinculado a pessoa falecida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Reprovado nesta consulta</w:t>
            </w:r>
          </w:p>
        </w:tc>
      </w:tr>
    </w:tbl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BF819E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BF819E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BF819E" w:val="clear"/>
        </w:rPr>
      </w:pPr>
      <w:r>
        <w:rPr>
          <w:b w:val="false"/>
          <w:bCs w:val="false"/>
          <w:i/>
          <w:iCs/>
          <w:sz w:val="16"/>
          <w:szCs w:val="16"/>
          <w:shd w:fill="BF819E" w:val="clear"/>
          <w:lang w:val="pt-BR"/>
        </w:rPr>
        <w:t>Score Serasa PF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BF819E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BF819E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BF819E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BF819E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BF819E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BF819E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450 ou mais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Menos de 450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Reprovado nesta consulta – candidato a taxa ativação 199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BF819E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BF819E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BF819E" w:val="clear"/>
        </w:rPr>
      </w:pPr>
      <w:r>
        <w:rPr>
          <w:b w:val="false"/>
          <w:bCs w:val="false"/>
          <w:i/>
          <w:iCs/>
          <w:sz w:val="16"/>
          <w:szCs w:val="16"/>
          <w:shd w:fill="BF819E" w:val="clear"/>
          <w:lang w:val="pt-BR"/>
        </w:rPr>
        <w:t>Dívidas Telecom (Incumbents, Principais ISPs) - Serasa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BF819E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BF819E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BF819E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BF819E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BF819E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BF819E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Até 100 reais (menos de 2 anos)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Aprovado como cliente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Mais de 100 reais (menos de 2 anos0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BF819E" w:val="clear"/>
              </w:rPr>
            </w:pPr>
            <w:r>
              <w:rPr>
                <w:sz w:val="16"/>
                <w:szCs w:val="16"/>
                <w:shd w:fill="BF819E" w:val="clear"/>
                <w:lang w:val="pt-BR"/>
              </w:rPr>
              <w:t>Reprovado nesta consulta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BF819E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BF819E" w:val="clear"/>
          <w:lang w:val="pt-BR"/>
        </w:rPr>
        <w:t xml:space="preserve">-- </w:t>
      </w:r>
      <w:r>
        <w:rPr>
          <w:b/>
          <w:bCs/>
          <w:i/>
          <w:iCs/>
          <w:sz w:val="16"/>
          <w:szCs w:val="16"/>
          <w:shd w:fill="BF819E" w:val="clear"/>
          <w:lang w:val="pt-BR"/>
        </w:rPr>
        <w:t>CONSIDERANDO TUDO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BF819E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BF819E" w:val="clear"/>
          <w:lang w:val="pt-BR"/>
        </w:rPr>
      </w:r>
    </w:p>
    <w:p>
      <w:pPr>
        <w:pStyle w:val="TableContents"/>
        <w:bidi w:val="0"/>
        <w:jc w:val="left"/>
        <w:rPr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  <w:t>***</w:t>
      </w:r>
    </w:p>
    <w:p>
      <w:pPr>
        <w:pStyle w:val="TableContents"/>
        <w:bidi w:val="0"/>
        <w:jc w:val="left"/>
        <w:rPr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bidi w:val="0"/>
        <w:jc w:val="left"/>
        <w:rPr>
          <w:highlight w:val="none"/>
          <w:shd w:fill="168253" w:val="clear"/>
        </w:rPr>
      </w:pPr>
      <w:r>
        <w:rPr>
          <w:b w:val="false"/>
          <w:bCs w:val="false"/>
          <w:i/>
          <w:iCs/>
          <w:sz w:val="16"/>
          <w:szCs w:val="16"/>
          <w:shd w:fill="168253" w:val="clear"/>
          <w:lang w:val="pt-BR"/>
        </w:rPr>
        <w:t>Se cliente PJ, consulta Comprovante Situação Cadastral CNPJ</w:t>
      </w:r>
      <w:r>
        <w:rPr>
          <w:b w:val="false"/>
          <w:bCs w:val="false"/>
          <w:sz w:val="16"/>
          <w:szCs w:val="16"/>
          <w:shd w:fill="168253" w:val="clear"/>
          <w:lang w:val="pt-BR"/>
        </w:rPr>
        <w:t xml:space="preserve"> </w:t>
      </w:r>
    </w:p>
    <w:p>
      <w:pPr>
        <w:pStyle w:val="TableContents"/>
        <w:bidi w:val="0"/>
        <w:jc w:val="left"/>
        <w:rPr>
          <w:b w:val="false"/>
          <w:b w:val="false"/>
          <w:bCs w:val="false"/>
          <w:sz w:val="16"/>
          <w:szCs w:val="16"/>
          <w:highlight w:val="none"/>
          <w:shd w:fill="168253" w:val="clear"/>
          <w:lang w:val="pt-BR"/>
        </w:rPr>
      </w:pPr>
      <w:r>
        <w:rPr>
          <w:b w:val="false"/>
          <w:bCs w:val="false"/>
          <w:sz w:val="16"/>
          <w:szCs w:val="16"/>
          <w:shd w:fill="168253" w:val="clear"/>
          <w:lang w:val="pt-B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168253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168253" w:val="clear"/>
                <w:lang w:val="pt-BR"/>
              </w:rPr>
              <w:t>Resultado Consulta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highlight w:val="none"/>
                <w:shd w:fill="168253" w:val="clear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fill="168253" w:val="clear"/>
                <w:lang w:val="pt-BR"/>
              </w:rPr>
              <w:t>Decisão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168253" w:val="clear"/>
              </w:rPr>
            </w:pPr>
            <w:r>
              <w:rPr>
                <w:sz w:val="16"/>
                <w:szCs w:val="16"/>
                <w:shd w:fill="168253" w:val="clear"/>
                <w:lang w:val="pt-BR"/>
              </w:rPr>
              <w:t>- Situação cadastral: Ativa</w:t>
              <w:br/>
              <w:t>- CNPJ válido: número correto e correspondente à razão social informada.</w:t>
              <w:br/>
              <w:t>- Data de abertura: compatível (empresa constituída a pelo menos 90 dias)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168253" w:val="clear"/>
              </w:rPr>
            </w:pPr>
            <w:r>
              <w:rPr>
                <w:sz w:val="16"/>
                <w:szCs w:val="16"/>
                <w:shd w:fill="168253" w:val="clear"/>
                <w:lang w:val="pt-BR"/>
              </w:rPr>
              <w:t>Aprovado nesta consulta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168253" w:val="clear"/>
              </w:rPr>
            </w:pPr>
            <w:r>
              <w:rPr>
                <w:sz w:val="16"/>
                <w:szCs w:val="16"/>
                <w:shd w:fill="168253" w:val="clear"/>
                <w:lang w:val="pt-BR"/>
              </w:rPr>
              <w:t>- Situação cadastral irregular: Baixada, Suspensa, Inapta, Nula</w:t>
              <w:br/>
              <w:t>- Dados divergentes: CNPJ não confere com a razão social informada no cadastro ou contrato.</w:t>
              <w:br/>
              <w:t>- Data de abertura: compatível (empresa constituída a menos de 90 dias)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168253" w:val="clear"/>
              </w:rPr>
            </w:pPr>
            <w:r>
              <w:rPr>
                <w:sz w:val="16"/>
                <w:szCs w:val="16"/>
                <w:shd w:fill="168253" w:val="clear"/>
                <w:lang w:val="pt-BR"/>
              </w:rPr>
              <w:t>Reprovado como cliente</w:t>
            </w:r>
          </w:p>
        </w:tc>
      </w:tr>
    </w:tbl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168253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168253" w:val="clear"/>
          <w:lang w:val="pt-BR"/>
        </w:rPr>
      </w:r>
    </w:p>
    <w:p>
      <w:pPr>
        <w:pStyle w:val="TableContents"/>
        <w:bidi w:val="0"/>
        <w:jc w:val="left"/>
        <w:rPr>
          <w:sz w:val="16"/>
          <w:szCs w:val="16"/>
        </w:rPr>
      </w:pPr>
      <w:r>
        <w:rPr>
          <w:i/>
          <w:iCs/>
          <w:sz w:val="16"/>
          <w:szCs w:val="16"/>
          <w:shd w:fill="auto" w:val="clear"/>
          <w:lang w:val="pt-BR"/>
        </w:rPr>
        <w:t>Contrato Social – se PJ</w:t>
      </w:r>
    </w:p>
    <w:p>
      <w:pPr>
        <w:pStyle w:val="TableContents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16"/>
          <w:szCs w:val="16"/>
          <w:highlight w:val="none"/>
          <w:shd w:fill="auto" w:val="clear"/>
          <w:lang w:val="pt-BR"/>
        </w:rPr>
      </w:pPr>
      <w:r>
        <w:rPr>
          <w:b w:val="false"/>
          <w:bCs w:val="false"/>
          <w:i/>
          <w:iCs/>
          <w:sz w:val="16"/>
          <w:szCs w:val="16"/>
          <w:shd w:fill="auto" w:val="clear"/>
          <w:lang w:val="pt-BR"/>
        </w:rPr>
      </w:r>
    </w:p>
    <w:p>
      <w:pPr>
        <w:pStyle w:val="TableContents"/>
        <w:suppressAutoHyphens w:val="true"/>
        <w:bidi w:val="0"/>
        <w:spacing w:before="0" w:after="0"/>
        <w:jc w:val="left"/>
        <w:rPr>
          <w:rFonts w:ascii="Liberation Serif" w:hAnsi="Liberation Serif" w:eastAsia="NSimSun" w:cs="Arial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16"/>
          <w:szCs w:val="16"/>
          <w:u w:val="single"/>
          <w:shd w:fill="auto" w:val="clear"/>
          <w:lang w:val="pt-BR" w:eastAsia="zh-CN" w:bidi="hi-IN"/>
        </w:rPr>
      </w:pPr>
      <w:r>
        <w:rPr>
          <w:rFonts w:eastAsia="NSimSun" w:cs="Arial"/>
          <w:b w:val="false"/>
          <w:bCs w:val="false"/>
          <w:i w:val="false"/>
          <w:iCs w:val="false"/>
          <w:color w:val="000000"/>
          <w:kern w:val="2"/>
          <w:sz w:val="16"/>
          <w:szCs w:val="16"/>
          <w:u w:val="single"/>
          <w:shd w:fill="auto" w:val="clear"/>
          <w:lang w:val="pt-BR" w:eastAsia="zh-CN" w:bidi="hi-IN"/>
        </w:rPr>
        <w:t>Conforme especificado acima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hyphenationZone w:val="360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1229</TotalTime>
  <Application>LibreOffice/7.3.7.2$Linux_X86_64 LibreOffice_project/30$Build-2</Application>
  <AppVersion>15.0000</AppVersion>
  <Pages>7</Pages>
  <Words>1909</Words>
  <Characters>11432</Characters>
  <CharactersWithSpaces>13167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2025-09-28T11:29:23Z</dcterms:created>
  <dc:creator/>
  <dc:description/>
  <dc:language>pt-BR</dc:language>
  <cp:lastModifiedBy/>
  <dcterms:modified xsi:type="dcterms:W3CDTF">2025-11-04T19:48:19Z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