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60"/>
      </w:pPr>
      <w:r>
        <w:rPr>
          <w:rFonts w:ascii="Calibri" w:hAnsi="Calibri"/>
          <w:b/>
          <w:color w:val="1F4E79"/>
          <w:sz w:val="40"/>
        </w:rPr>
        <w:t>Plano de Aula — Quantidade de Movimento</w:t>
      </w:r>
    </w:p>
    <w:p>
      <w:pPr>
        <w:spacing w:before="40" w:after="80" w:line="276" w:lineRule="auto"/>
      </w:pPr>
      <w:r>
        <w:rPr>
          <w:b/>
        </w:rPr>
        <w:t>Público-alvo:</w:t>
      </w:r>
      <w:r>
        <w:t xml:space="preserve"> Estudante do 1º ano do Ensino Médio</w:t>
      </w:r>
    </w:p>
    <w:p>
      <w:pPr>
        <w:spacing w:before="40" w:after="80" w:line="276" w:lineRule="auto"/>
      </w:pPr>
      <w:r>
        <w:rPr>
          <w:b/>
        </w:rPr>
        <w:t>Modalidade:</w:t>
      </w:r>
      <w:r>
        <w:t xml:space="preserve"> Aula de Reforço Escolar Individual (1 a 1), remota síncrona</w:t>
      </w:r>
    </w:p>
    <w:p>
      <w:pPr>
        <w:spacing w:before="40" w:after="80" w:line="276" w:lineRule="auto"/>
      </w:pPr>
      <w:r>
        <w:rPr>
          <w:b/>
        </w:rPr>
        <w:t>Duração:</w:t>
      </w:r>
      <w:r>
        <w:t xml:space="preserve"> 50 minutos</w:t>
      </w:r>
    </w:p>
    <w:p>
      <w:pPr>
        <w:spacing w:before="40" w:after="80" w:line="276" w:lineRule="auto"/>
      </w:pPr>
      <w:r>
        <w:rPr>
          <w:b/>
        </w:rPr>
        <w:t>Tema:</w:t>
      </w:r>
      <w:r>
        <w:t xml:space="preserve"> Quantidade de Movimento (Momento Linear)</w:t>
      </w:r>
    </w:p>
    <w:p>
      <w:pPr>
        <w:spacing w:before="40" w:after="80" w:line="276" w:lineRule="auto"/>
      </w:pPr>
      <w:r>
        <w:rPr>
          <w:b/>
        </w:rPr>
        <w:t>Professor Responsável:</w:t>
      </w:r>
      <w:r>
        <w:t xml:space="preserve"> Victor Palmeira</w:t>
      </w:r>
    </w:p>
    <w:p>
      <w:pPr>
        <w:spacing w:before="80" w:after="80"/>
      </w:pPr>
      <w:r>
        <w:rPr>
          <w:color w:val="AAAAAA"/>
        </w:rPr>
        <w:t>—————————————————————————————————————————————</w:t>
      </w:r>
    </w:p>
    <w:p>
      <w:pPr>
        <w:spacing w:before="240" w:after="80"/>
      </w:pPr>
      <w:r>
        <w:rPr>
          <w:rFonts w:ascii="Calibri" w:hAnsi="Calibri"/>
          <w:b/>
          <w:color w:val="2F5597"/>
          <w:sz w:val="28"/>
        </w:rPr>
        <w:t>1. Objetivos de Aprendizagem</w:t>
      </w:r>
    </w:p>
    <w:p>
      <w:pPr>
        <w:spacing w:before="40" w:after="80" w:line="276" w:lineRule="auto"/>
      </w:pPr>
      <w:r>
        <w:t>Ao final da sessão individual, o estudante deverá ser capaz de:</w:t>
      </w:r>
    </w:p>
    <w:p>
      <w:pPr>
        <w:pStyle w:val="ListBullet"/>
        <w:spacing w:before="20" w:after="40"/>
      </w:pPr>
      <w:r>
        <w:t>Definir quantidade de movimento (momento linear) e identificar massa e velocidade na relação vetorial p = m · v.</w:t>
      </w:r>
    </w:p>
    <w:p>
      <w:pPr>
        <w:pStyle w:val="ListBullet"/>
        <w:spacing w:before="20" w:after="40"/>
      </w:pPr>
      <w:r>
        <w:t>Calcular o módulo da quantidade de movimento em situações simples e informar sua unidade correta no SI (kg·m/s).</w:t>
      </w:r>
    </w:p>
    <w:p>
      <w:pPr>
        <w:pStyle w:val="ListBullet"/>
        <w:spacing w:before="20" w:after="40"/>
      </w:pPr>
      <w:r>
        <w:t>Relacionar a direção e o sentido de p aos da velocidade, compreendendo seu caráter vetorial em trajetórias unidimensionais.</w:t>
      </w:r>
    </w:p>
    <w:p>
      <w:pPr>
        <w:pStyle w:val="ListBullet"/>
        <w:spacing w:before="20" w:after="40"/>
      </w:pPr>
      <w:r>
        <w:t>Distinguir conceitualmente quantidade de movimento de força e de distância de frenagem.</w:t>
      </w:r>
    </w:p>
    <w:p>
      <w:pPr>
        <w:pStyle w:val="ListBullet"/>
        <w:spacing w:before="20" w:after="40"/>
      </w:pPr>
      <w:r>
        <w:t>Reconhecer qualitativamente a ideia de que a quantidade de movimento total pode se conservar em um sistema isolado (preparação para a aula seguinte de colisões).</w:t>
      </w:r>
    </w:p>
    <w:p>
      <w:pPr>
        <w:spacing w:before="240" w:after="80"/>
      </w:pPr>
      <w:r>
        <w:rPr>
          <w:rFonts w:ascii="Calibri" w:hAnsi="Calibri"/>
          <w:b/>
          <w:color w:val="2F5597"/>
          <w:sz w:val="28"/>
        </w:rPr>
        <w:t>2. Conteúdo Programático</w:t>
      </w:r>
    </w:p>
    <w:p>
      <w:pPr>
        <w:pStyle w:val="ListBullet"/>
        <w:spacing w:before="20" w:after="40"/>
      </w:pPr>
      <w:r>
        <w:t>Conceito físico de quantidade de movimento (momento linear)</w:t>
      </w:r>
    </w:p>
    <w:p>
      <w:pPr>
        <w:pStyle w:val="ListBullet"/>
        <w:spacing w:before="20" w:after="40"/>
      </w:pPr>
      <w:r>
        <w:t>Expressão matemática: p = m · v</w:t>
      </w:r>
    </w:p>
    <w:p>
      <w:pPr>
        <w:pStyle w:val="ListBullet"/>
        <w:spacing w:before="20" w:after="40"/>
      </w:pPr>
      <w:r>
        <w:t>Unidade no Sistema Internacional (kg·m/s)</w:t>
      </w:r>
    </w:p>
    <w:p>
      <w:pPr>
        <w:pStyle w:val="ListBullet"/>
        <w:spacing w:before="20" w:after="40"/>
      </w:pPr>
      <w:r>
        <w:t>Caráter vetorial: direção e sentido coincidentes com os da velocidade</w:t>
      </w:r>
    </w:p>
    <w:p>
      <w:pPr>
        <w:pStyle w:val="ListBullet"/>
        <w:spacing w:before="20" w:after="40"/>
      </w:pPr>
      <w:r>
        <w:t>Exemplos do cotidiano e desmistificação da relação entre quantidade de movimento, força e frenagem</w:t>
      </w:r>
    </w:p>
    <w:p>
      <w:pPr>
        <w:pStyle w:val="ListBullet"/>
        <w:spacing w:before="20" w:after="40"/>
      </w:pPr>
      <w:r>
        <w:t>Introdução qualitativa à conservação da quantidade de movimento total em sistemas isolados</w:t>
      </w:r>
    </w:p>
    <w:p>
      <w:pPr>
        <w:spacing w:before="240" w:after="80"/>
      </w:pPr>
      <w:r>
        <w:rPr>
          <w:rFonts w:ascii="Calibri" w:hAnsi="Calibri"/>
          <w:b/>
          <w:color w:val="2F5597"/>
          <w:sz w:val="28"/>
        </w:rPr>
        <w:t>3. Metodologia de Ensino (Atendimento Individual 1 a 1)</w:t>
      </w:r>
    </w:p>
    <w:p>
      <w:pPr>
        <w:spacing w:before="40" w:after="80" w:line="276" w:lineRule="auto"/>
      </w:pPr>
      <w:r>
        <w:t>Aula de reforço interativa conduzida individualmente, com mediação direta professor-aluno:</w:t>
      </w:r>
    </w:p>
    <w:p>
      <w:pPr>
        <w:pStyle w:val="ListBullet"/>
        <w:spacing w:before="20" w:after="40"/>
      </w:pPr>
      <w:r>
        <w:rPr>
          <w:b/>
        </w:rPr>
        <w:t>Problematização inicial (5 min):</w:t>
      </w:r>
      <w:r>
        <w:t xml:space="preserve"> Apresentação de uma situação concreta na tela compartilhada para instigar o raciocínio do estudante.</w:t>
      </w:r>
    </w:p>
    <w:p>
      <w:pPr>
        <w:pStyle w:val="ListBullet"/>
        <w:spacing w:before="20" w:after="40"/>
      </w:pPr>
      <w:r>
        <w:rPr>
          <w:b/>
        </w:rPr>
        <w:t>Construção dialógica no OneNote (10 min):</w:t>
      </w:r>
      <w:r>
        <w:t xml:space="preserve"> O professor expõe o conceito na lousa digital do OneNote, utilizando a </w:t>
      </w:r>
      <w:r>
        <w:rPr>
          <w:b/>
        </w:rPr>
        <w:t>mesa digitalizadora</w:t>
      </w:r>
      <w:r>
        <w:t xml:space="preserve"> para desenhar grandezas, vetores e fórmulas com anotações manuscritas dinâmicas.</w:t>
      </w:r>
    </w:p>
    <w:p>
      <w:pPr>
        <w:pStyle w:val="ListBullet"/>
        <w:spacing w:before="20" w:after="40"/>
      </w:pPr>
      <w:r>
        <w:rPr>
          <w:b/>
        </w:rPr>
        <w:t>Exemplos guiados (10 min):</w:t>
      </w:r>
      <w:r>
        <w:t xml:space="preserve"> Resolução conjunta no OneNote, com o professor ilustrando a relação vetorial e o cálculo de módulo.</w:t>
      </w:r>
    </w:p>
    <w:p>
      <w:pPr>
        <w:pStyle w:val="ListBullet"/>
        <w:spacing w:before="20" w:after="40"/>
      </w:pPr>
      <w:r>
        <w:rPr>
          <w:b/>
        </w:rPr>
        <w:t>Comparação guiada de casos A, B e C (7 min):</w:t>
      </w:r>
      <w:r>
        <w:t xml:space="preserve"> Análise reflexiva direta entre professor e aluno sobre 3 situações controladas de massa e velocidade na lousa digital.</w:t>
      </w:r>
    </w:p>
    <w:p>
      <w:pPr>
        <w:pStyle w:val="ListBullet"/>
        <w:spacing w:before="20" w:after="40"/>
      </w:pPr>
      <w:r>
        <w:rPr>
          <w:b/>
        </w:rPr>
        <w:t>Aplicação prática individualizada (8 min):</w:t>
      </w:r>
      <w:r>
        <w:t xml:space="preserve"> Resolução de questões selecionadas com andaimes adaptados ao perfil do estudante atendido (padrão ou TDAH), com feedback imediato.</w:t>
      </w:r>
    </w:p>
    <w:p>
      <w:pPr>
        <w:pStyle w:val="ListBullet"/>
        <w:spacing w:before="20" w:after="40"/>
      </w:pPr>
      <w:r>
        <w:rPr>
          <w:b/>
        </w:rPr>
        <w:t>Sistematização e fechamento (10 min):</w:t>
      </w:r>
      <w:r>
        <w:t xml:space="preserve"> Síntese dialogada dos pontos-chave no OneNote e registro de dúvidas.</w:t>
      </w:r>
    </w:p>
    <w:p>
      <w:pPr>
        <w:spacing w:before="240" w:after="80"/>
      </w:pPr>
      <w:r>
        <w:rPr>
          <w:rFonts w:ascii="Calibri" w:hAnsi="Calibri"/>
          <w:b/>
          <w:color w:val="2F5597"/>
          <w:sz w:val="28"/>
        </w:rPr>
        <w:t>4. Recursos Tecnológicos e Didáticos</w:t>
      </w:r>
    </w:p>
    <w:p>
      <w:pPr>
        <w:pStyle w:val="ListBullet"/>
        <w:spacing w:before="20" w:after="40"/>
      </w:pPr>
      <w:r>
        <w:rPr>
          <w:b/>
        </w:rPr>
        <w:t>Ambiente de Videoconferência:</w:t>
      </w:r>
      <w:r>
        <w:t xml:space="preserve"> Google Meet (para transmissão síncrona com câmera, áudio e compartilhamento de tela).</w:t>
      </w:r>
    </w:p>
    <w:p>
      <w:pPr>
        <w:pStyle w:val="ListBullet"/>
        <w:spacing w:before="20" w:after="40"/>
      </w:pPr>
      <w:r>
        <w:rPr>
          <w:b/>
        </w:rPr>
        <w:t>Lousa Digital Interativa:</w:t>
      </w:r>
      <w:r>
        <w:t xml:space="preserve"> Microsoft OneNote (estruturado como caderno digital da aula, permitindo organização em seções limpas e compartilhamento posterior em PDF).</w:t>
      </w:r>
    </w:p>
    <w:p>
      <w:pPr>
        <w:pStyle w:val="ListBullet"/>
        <w:spacing w:before="20" w:after="40"/>
      </w:pPr>
      <w:r>
        <w:rPr>
          <w:b/>
        </w:rPr>
        <w:t>Dispositivo de Escrita:</w:t>
      </w:r>
      <w:r>
        <w:t xml:space="preserve"> Mesa Digitalizadora (utilizada pelo professor para escrita à mão livre, diagramas com setas vetoriais, marcações coloridas e equações em tempo real).</w:t>
      </w:r>
    </w:p>
    <w:p>
      <w:pPr>
        <w:pStyle w:val="ListBullet"/>
        <w:spacing w:before="20" w:after="40"/>
      </w:pPr>
      <w:r>
        <w:rPr>
          <w:b/>
        </w:rPr>
        <w:t>Apoio Visual:</w:t>
      </w:r>
      <w:r>
        <w:t xml:space="preserve"> Apresentação em slides (Apresentacao_Aula_IA.pptx) projetada no Meet.</w:t>
      </w:r>
    </w:p>
    <w:p>
      <w:pPr>
        <w:pStyle w:val="ListBullet"/>
        <w:spacing w:before="20" w:after="40"/>
      </w:pPr>
      <w:r>
        <w:rPr>
          <w:b/>
        </w:rPr>
        <w:t>Gerenciamento do Tempo:</w:t>
      </w:r>
      <w:r>
        <w:t xml:space="preserve"> Cronômetro / timer digital compartilhado na tela (essencial para regulação do ritmo e foco, especialmente no perfil TDAH).</w:t>
      </w:r>
    </w:p>
    <w:p>
      <w:pPr>
        <w:pStyle w:val="ListBullet"/>
        <w:spacing w:before="20" w:after="40"/>
      </w:pPr>
      <w:r>
        <w:rPr>
          <w:b/>
        </w:rPr>
        <w:t>Materiais Didáticos:</w:t>
      </w:r>
      <w:r>
        <w:t xml:space="preserve"> Textos e folhas de exercícios diferenciadas (materiais_perfil_padrao e materiais_perfil_tdah).</w:t>
      </w:r>
    </w:p>
    <w:p>
      <w:pPr>
        <w:spacing w:before="240" w:after="80"/>
      </w:pPr>
      <w:r>
        <w:rPr>
          <w:rFonts w:ascii="Calibri" w:hAnsi="Calibri"/>
          <w:b/>
          <w:color w:val="2F5597"/>
          <w:sz w:val="28"/>
        </w:rPr>
        <w:t>5. Desenvolvimento da Sessão (cronograma de 50 minutos)</w:t>
      </w:r>
    </w:p>
    <w:p>
      <w:pPr>
        <w:spacing w:before="40" w:after="80" w:line="276" w:lineRule="auto"/>
      </w:pPr>
      <w:r>
        <w:rPr>
          <w:b/>
        </w:rPr>
        <w:t>00–05 min | Abertura e problematização</w:t>
      </w:r>
      <w:r>
        <w:br/>
      </w:r>
    </w:p>
    <w:p>
      <w:pPr>
        <w:spacing w:before="40" w:after="80" w:line="276" w:lineRule="auto"/>
      </w:pPr>
      <w:r>
        <w:t>No Google Meet, o professor compartilha a tela e apresenta no OneNote o desenho de dois carrinhos com massas diferentes se movendo no mesmo sentido com velocidades iguais. Lança a pergunta: *“Qual deles tem mais movimento acumulado? O que tem mais quantidade de movimento é mais difícil de parar?”*. Coleta a resposta do estudante e problematiza que quantidade de movimento não é força e não define sozinha o tempo ou a distância de parada.</w:t>
      </w:r>
    </w:p>
    <w:p>
      <w:pPr>
        <w:spacing w:before="40" w:after="80" w:line="276" w:lineRule="auto"/>
      </w:pPr>
      <w:r>
        <w:rPr>
          <w:b/>
        </w:rPr>
        <w:t>05–15 min | Construção do conceito no OneNote</w:t>
      </w:r>
      <w:r>
        <w:br/>
      </w:r>
    </w:p>
    <w:p>
      <w:pPr>
        <w:spacing w:before="40" w:after="80" w:line="276" w:lineRule="auto"/>
      </w:pPr>
      <w:r>
        <w:t>O professor escreve a fórmula p = m · v com a mesa digitalizadora. Destaca com cores distintas:</w:t>
      </w:r>
    </w:p>
    <w:p>
      <w:pPr>
        <w:pStyle w:val="ListBullet"/>
        <w:spacing w:before="20" w:after="40"/>
      </w:pPr>
      <w:r>
        <w:t>Massa (m, escalar em kg, sempre positiva);</w:t>
      </w:r>
    </w:p>
    <w:p>
      <w:pPr>
        <w:pStyle w:val="ListBullet"/>
        <w:spacing w:before="20" w:after="40"/>
      </w:pPr>
      <w:r>
        <w:t>Velocidade (v, vetor em m/s);</w:t>
      </w:r>
    </w:p>
    <w:p>
      <w:pPr>
        <w:pStyle w:val="ListBullet"/>
        <w:spacing w:before="20" w:after="40"/>
      </w:pPr>
      <w:r>
        <w:t>Quantidade de movimento (p, vetor em kg·m/s, apontando para o mesmo sentido da velocidade).</w:t>
      </w:r>
    </w:p>
    <w:p>
      <w:pPr>
        <w:spacing w:before="40" w:after="80" w:line="276" w:lineRule="auto"/>
      </w:pPr>
      <w:r>
        <w:t>Explica que a direção e o sentido de p acompanham a velocidade e esclarece que frear depende da força resultante no tempo (impulso), e não apenas do valor de p.</w:t>
      </w:r>
    </w:p>
    <w:p>
      <w:pPr>
        <w:spacing w:before="40" w:after="80" w:line="276" w:lineRule="auto"/>
      </w:pPr>
      <w:r>
        <w:rPr>
          <w:b/>
        </w:rPr>
        <w:t>15–25 min | Exemplos e aplicação guiada com a mesa digitalizadora</w:t>
      </w:r>
      <w:r>
        <w:br/>
      </w:r>
    </w:p>
    <w:p>
      <w:pPr>
        <w:spacing w:before="40" w:after="80" w:line="276" w:lineRule="auto"/>
      </w:pPr>
      <w:r>
        <w:t>O professor e o estudante resolvem juntos no OneNote:</w:t>
      </w:r>
    </w:p>
    <w:p>
      <w:pPr>
        <w:pStyle w:val="ListNumber"/>
        <w:spacing w:before="20" w:after="40"/>
      </w:pPr>
      <w:r>
        <w:t>Um cálculo direto de módulo: bola de futebol de 0,4\,kg a 20\,m/s (p = 8\,kg·m/s).</w:t>
      </w:r>
    </w:p>
    <w:p>
      <w:pPr>
        <w:pStyle w:val="ListNumber"/>
        <w:spacing w:before="20" w:after="40"/>
      </w:pPr>
      <w:r>
        <w:t>Uma situação vetorial no mesmo eixo: dois patinadores com m = 50\,kg a 3\,m/s, um para a direita (+150\,kg·m/s) e outro para a esquerda (-150\,kg·m/s), mostrando visualmente na lousa que sentidos opostos tornam os vetores diferentes.</w:t>
      </w:r>
    </w:p>
    <w:p>
      <w:pPr>
        <w:spacing w:before="40" w:after="80" w:line="276" w:lineRule="auto"/>
      </w:pPr>
      <w:r>
        <w:rPr>
          <w:b/>
        </w:rPr>
        <w:t>25–40 min | Comparação prática de casos e exercícios selecionados</w:t>
      </w:r>
      <w:r>
        <w:br/>
      </w:r>
    </w:p>
    <w:p>
      <w:pPr>
        <w:pStyle w:val="ListBullet"/>
        <w:spacing w:before="20" w:after="40"/>
      </w:pPr>
      <w:r>
        <w:t>*Etapa 1 — Análise dos Casos A, B e C (7 min):* Na lousa do OneNote, analisam 3 casos pré-organizados:</w:t>
      </w:r>
    </w:p>
    <w:p>
      <w:pPr>
        <w:pStyle w:val="ListBullet"/>
        <w:spacing w:before="20" w:after="40"/>
        <w:ind w:left="720"/>
      </w:pPr>
      <w:r>
        <w:t>Caso A: 2\,kg a 3\,m/s (p = 6\,kg·m/s)</w:t>
      </w:r>
    </w:p>
    <w:p>
      <w:pPr>
        <w:pStyle w:val="ListBullet"/>
        <w:spacing w:before="20" w:after="40"/>
        <w:ind w:left="720"/>
      </w:pPr>
      <w:r>
        <w:t>Caso B: 4\,kg a 3\,m/s (p = 12\,kg·m/s)</w:t>
      </w:r>
    </w:p>
    <w:p>
      <w:pPr>
        <w:pStyle w:val="ListBullet"/>
        <w:spacing w:before="20" w:after="40"/>
        <w:ind w:left="720"/>
      </w:pPr>
      <w:r>
        <w:t xml:space="preserve">Caso C: 2\,kg a 6\,m/s (p = 12\,kg·m/s)  </w:t>
      </w:r>
    </w:p>
    <w:p>
      <w:pPr>
        <w:spacing w:before="40" w:after="80" w:line="276" w:lineRule="auto"/>
      </w:pPr>
      <w:r>
        <w:t>O professor conduz o aluno a perceber como dobrar a massa ou dobrar a velocidade gera o mesmo p, e que a frenagem exige considerar a interação com os freios e pista.</w:t>
      </w:r>
    </w:p>
    <w:p>
      <w:pPr>
        <w:pStyle w:val="ListBullet"/>
        <w:spacing w:before="20" w:after="40"/>
      </w:pPr>
      <w:r>
        <w:t>*Etapa 2 — Exercícios selecionados (8 min):* Resolução guiada das Questões 1 e 3. O estudante resolve no OneNote ou fala suas respostas enquanto o professor anota na mesa digitalizadora.</w:t>
      </w:r>
    </w:p>
    <w:p>
      <w:pPr>
        <w:spacing w:before="40" w:after="80" w:line="276" w:lineRule="auto"/>
      </w:pPr>
      <w:r>
        <w:rPr>
          <w:b/>
        </w:rPr>
        <w:t>40–50 min | Sistematização, conservação e fechamento</w:t>
      </w:r>
      <w:r>
        <w:br/>
      </w:r>
    </w:p>
    <w:p>
      <w:pPr>
        <w:spacing w:before="40" w:after="80" w:line="276" w:lineRule="auto"/>
      </w:pPr>
      <w:r>
        <w:t>O professor resume os pontos centrais no OneNote: relação p = m · v, unidades e caráter vetorial. Introduz de forma qualitativa que, em um sistema isolado (sem forças externas), o momento total se conserva, adiantando o tema da próxima aula de colisões. Espaço para esclarecer dúvidas finais do aluno.</w:t>
      </w:r>
    </w:p>
    <w:p>
      <w:pPr>
        <w:spacing w:before="240" w:after="80"/>
      </w:pPr>
      <w:r>
        <w:rPr>
          <w:rFonts w:ascii="Calibri" w:hAnsi="Calibri"/>
          <w:b/>
          <w:color w:val="2F5597"/>
          <w:sz w:val="28"/>
        </w:rPr>
        <w:t>6. Avaliação Formativa no Atendimento Individual</w:t>
      </w:r>
    </w:p>
    <w:p>
      <w:pPr>
        <w:spacing w:before="40" w:after="80" w:line="276" w:lineRule="auto"/>
      </w:pPr>
      <w:r>
        <w:t>Em contexto de reforço individual, a avaliação é contínua e imediata:</w:t>
      </w:r>
    </w:p>
    <w:p>
      <w:pPr>
        <w:pStyle w:val="ListBullet"/>
        <w:spacing w:before="20" w:after="40"/>
      </w:pPr>
      <w:r>
        <w:t>Observação da capacidade do estudante de explicar o conceito com suas próprias palavras;</w:t>
      </w:r>
    </w:p>
    <w:p>
      <w:pPr>
        <w:pStyle w:val="ListBullet"/>
        <w:spacing w:before="20" w:after="40"/>
      </w:pPr>
      <w:r>
        <w:t>Identificação correta das variáveis no OneNote e resolução dos cálculos com unidade (kg·m/s);</w:t>
      </w:r>
    </w:p>
    <w:p>
      <w:pPr>
        <w:pStyle w:val="ListBullet"/>
        <w:spacing w:before="20" w:after="40"/>
      </w:pPr>
      <w:r>
        <w:t>Compreensão do caráter vetorial ao desenhar ou indicar sentidos;</w:t>
      </w:r>
    </w:p>
    <w:p>
      <w:pPr>
        <w:pStyle w:val="ListBullet"/>
        <w:spacing w:before="20" w:after="40"/>
      </w:pPr>
      <w:r>
        <w:t>Correção colaborativa e imediata de dúvidas e concepções alternativas;</w:t>
      </w:r>
    </w:p>
    <w:p>
      <w:pPr>
        <w:pStyle w:val="ListBullet"/>
        <w:spacing w:before="20" w:after="40"/>
      </w:pPr>
      <w:r>
        <w:t>Acolhimento de respostas orais, escritas na lousa ou esquematizadas por setas.</w:t>
      </w:r>
    </w:p>
    <w:p>
      <w:pPr>
        <w:spacing w:before="240" w:after="80"/>
      </w:pPr>
      <w:r>
        <w:rPr>
          <w:rFonts w:ascii="Calibri" w:hAnsi="Calibri"/>
          <w:b/>
          <w:color w:val="2F5597"/>
          <w:sz w:val="28"/>
        </w:rPr>
        <w:t>7. Diferenciação Pedagógica (Dois Perfis de Atendimento)</w:t>
      </w:r>
    </w:p>
    <w:p>
      <w:pPr>
        <w:spacing w:before="40" w:after="80" w:line="276" w:lineRule="auto"/>
      </w:pPr>
      <w:r>
        <w:t>O plano atende a duas sessões de reforço individuais distintas:</w:t>
      </w:r>
    </w:p>
    <w:p>
      <w:pPr>
        <w:spacing w:before="160" w:after="40"/>
      </w:pPr>
      <w:r>
        <w:rPr>
          <w:rFonts w:ascii="Calibri" w:hAnsi="Calibri"/>
          <w:b/>
          <w:color w:val="333333"/>
          <w:sz w:val="24"/>
        </w:rPr>
        <w:t>7.1 Perfil Padrão (Estudante com boa facilidade de compreensão)</w:t>
      </w:r>
    </w:p>
    <w:p>
      <w:pPr>
        <w:pStyle w:val="ListBullet"/>
        <w:spacing w:before="20" w:after="40"/>
      </w:pPr>
      <w:r>
        <w:rPr>
          <w:b/>
        </w:rPr>
        <w:t>Características do aluno:</w:t>
      </w:r>
      <w:r>
        <w:t xml:space="preserve"> Compreende rapidamente relações matemáticas e físicas, tem facilidade de abstração e boa autonomia.</w:t>
      </w:r>
    </w:p>
    <w:p>
      <w:pPr>
        <w:pStyle w:val="ListBullet"/>
        <w:spacing w:before="20" w:after="40"/>
      </w:pPr>
      <w:r>
        <w:rPr>
          <w:b/>
        </w:rPr>
        <w:t>Estratégia no OneNote:</w:t>
      </w:r>
      <w:r>
        <w:t xml:space="preserve"> O professor avança rapidamente pelos conceitos básicos, desafiando o aluno com questões discursivas mais densas (Questões 4 e 5) e interpretação de gráficos e limites físicos. O estudante é incentivado a deduzir conclusões por conta própria.</w:t>
      </w:r>
    </w:p>
    <w:p>
      <w:pPr>
        <w:spacing w:before="160" w:after="40"/>
      </w:pPr>
      <w:r>
        <w:rPr>
          <w:rFonts w:ascii="Calibri" w:hAnsi="Calibri"/>
          <w:b/>
          <w:color w:val="333333"/>
          <w:sz w:val="24"/>
        </w:rPr>
        <w:t>7.2 Perfil com TDAH (Estudante com necessidade de suporte à atenção e foco)</w:t>
      </w:r>
    </w:p>
    <w:p>
      <w:pPr>
        <w:pStyle w:val="ListBullet"/>
        <w:spacing w:before="20" w:after="40"/>
      </w:pPr>
      <w:r>
        <w:rPr>
          <w:b/>
        </w:rPr>
        <w:t>Características do aluno:</w:t>
      </w:r>
      <w:r>
        <w:t xml:space="preserve"> Dificuldade na sustentação de atenção prolongada, dispersão com instruções longas ou telas visualmente sobrecarregadas, potencial de impulsividade na resolução de cálculos de várias etapas.</w:t>
      </w:r>
    </w:p>
    <w:p>
      <w:pPr>
        <w:pStyle w:val="ListBullet"/>
        <w:spacing w:before="20" w:after="40"/>
      </w:pPr>
      <w:r>
        <w:rPr>
          <w:b/>
        </w:rPr>
        <w:t>Estratégia no OneNote e Mesa Digitalizadora:</w:t>
      </w:r>
    </w:p>
    <w:p>
      <w:pPr>
        <w:pStyle w:val="ListBullet"/>
        <w:spacing w:before="20" w:after="40"/>
        <w:ind w:left="720"/>
      </w:pPr>
      <w:r>
        <w:rPr>
          <w:b/>
        </w:rPr>
        <w:t>Lousa visualmente limpa e setorizada:</w:t>
      </w:r>
      <w:r>
        <w:t xml:space="preserve"> Cada exercício ocupa um espaço exclusivo no OneNote, evitando excesso de informações na tela;</w:t>
      </w:r>
    </w:p>
    <w:p>
      <w:pPr>
        <w:pStyle w:val="ListBullet"/>
        <w:spacing w:before="20" w:after="40"/>
        <w:ind w:left="720"/>
      </w:pPr>
      <w:r>
        <w:rPr>
          <w:b/>
        </w:rPr>
        <w:t>Uso intencional de cores:</w:t>
      </w:r>
      <w:r>
        <w:t xml:space="preserve"> A mesa digitalizadora é usada com código de cores (ex.: Verde para massa, Azul para velocidade, Vermelho para vetores);</w:t>
      </w:r>
    </w:p>
    <w:p>
      <w:pPr>
        <w:pStyle w:val="ListBullet"/>
        <w:spacing w:before="20" w:after="40"/>
        <w:ind w:left="720"/>
      </w:pPr>
      <w:r>
        <w:rPr>
          <w:b/>
        </w:rPr>
        <w:t>Instruções particionadas (Chunking):</w:t>
      </w:r>
      <w:r>
        <w:t xml:space="preserve"> Resolução dividida em pequenas etapas explícitas (Passo 1: anotar dados; Passo 2: fórmula; Passo 3: conta);</w:t>
      </w:r>
    </w:p>
    <w:p>
      <w:pPr>
        <w:pStyle w:val="ListBullet"/>
        <w:spacing w:before="20" w:after="40"/>
        <w:ind w:left="720"/>
      </w:pPr>
      <w:r>
        <w:rPr>
          <w:b/>
        </w:rPr>
        <w:t>Cronômetro visível no Meet:</w:t>
      </w:r>
      <w:r>
        <w:t xml:space="preserve"> Abertura e fechamento de pequenos blocos de tempo para manter a referência temporal e combater a procrastinação;</w:t>
      </w:r>
    </w:p>
    <w:p>
      <w:pPr>
        <w:pStyle w:val="ListBullet"/>
        <w:spacing w:before="20" w:after="40"/>
        <w:ind w:left="720"/>
      </w:pPr>
      <w:r>
        <w:rPr>
          <w:b/>
        </w:rPr>
        <w:t>Múltiplos modos de resposta:</w:t>
      </w:r>
      <w:r>
        <w:t xml:space="preserve"> O estudante pode ditar o raciocínio, responder verbalmente ou apontar setas na tela;</w:t>
      </w:r>
    </w:p>
    <w:p>
      <w:pPr>
        <w:pStyle w:val="ListBullet"/>
        <w:spacing w:before="20" w:after="40"/>
        <w:ind w:left="720"/>
      </w:pPr>
      <w:r>
        <w:rPr>
          <w:b/>
        </w:rPr>
        <w:t>Feedback positivo e imediato:</w:t>
      </w:r>
      <w:r>
        <w:t xml:space="preserve"> Validação a cada passo concluído para manter a motivação e o engajamento.</w:t>
      </w:r>
    </w:p>
    <w:p>
      <w:pPr>
        <w:spacing w:before="240" w:after="80"/>
      </w:pPr>
      <w:r>
        <w:rPr>
          <w:rFonts w:ascii="Calibri" w:hAnsi="Calibri"/>
          <w:b/>
          <w:color w:val="2F5597"/>
          <w:sz w:val="28"/>
        </w:rPr>
        <w:t>8. Referências</w:t>
      </w:r>
    </w:p>
    <w:p>
      <w:pPr>
        <w:pStyle w:val="ListBullet"/>
        <w:spacing w:before="20" w:after="40"/>
      </w:pPr>
      <w:r>
        <w:t>BRASIL. Ministério da Educação. *Base Nacional Comum Curricular (BNCC)*: etapa do Ensino Médio, área de Ciências da Natureza e suas Tecnologias. Brasília: MEC, 2018.</w:t>
      </w:r>
    </w:p>
    <w:p>
      <w:pPr>
        <w:pStyle w:val="ListBullet"/>
        <w:spacing w:before="20" w:after="40"/>
      </w:pPr>
      <w:r>
        <w:t>HALLIDAY, David; RESNICK, Robert; WALKER, Jearl. *Fundamentos de Física*, volume 1: Mecânica. Rio de Janeiro: LTC (edição e capítulo a confirmar pelo docente conforme o material adotado).</w:t>
      </w:r>
    </w:p>
    <w:p>
      <w:pPr>
        <w:pStyle w:val="ListBullet"/>
        <w:spacing w:before="20" w:after="40"/>
      </w:pPr>
      <w:r>
        <w:t>HELERBROCK, Rafael. Quantidade de movimento: conceito, fórmula, impulso. *Mundo Educação*, atualizado em 12 jun. 2020. Acesso em: 23 out. 2026.</w:t>
      </w:r>
    </w:p>
    <w:p>
      <w:pPr>
        <w:spacing w:before="240" w:after="80"/>
      </w:pPr>
      <w:r>
        <w:rPr>
          <w:rFonts w:ascii="Calibri" w:hAnsi="Calibri"/>
          <w:b/>
          <w:color w:val="2F5597"/>
          <w:sz w:val="28"/>
        </w:rPr>
        <w:t>9. Transparência sobre o Uso de IA, Ética e Proteção de Dados (LGPD)</w:t>
      </w:r>
    </w:p>
    <w:p>
      <w:pPr>
        <w:pStyle w:val="ListBullet"/>
        <w:spacing w:before="20" w:after="40"/>
      </w:pPr>
      <w:r>
        <w:rPr>
          <w:b/>
        </w:rPr>
        <w:t>Apoio de IA e Autoria Docente:</w:t>
      </w:r>
      <w:r>
        <w:t xml:space="preserve"> Este plano e seus materiais foram planejados com apoio de Inteligência Artificial generativa (ChatGPT e Microsoft Copilot). A autoria conceitual, a contextualização pedagógica para o reforço online e a validação final são exclusivamente do professor Victor Palmeira.</w:t>
      </w:r>
    </w:p>
    <w:p>
      <w:pPr>
        <w:pStyle w:val="ListBullet"/>
        <w:spacing w:before="20" w:after="40"/>
      </w:pPr>
      <w:r>
        <w:rPr>
          <w:b/>
        </w:rPr>
        <w:t>Conformidade com a LGPD (Lei nº 13.709/2018):</w:t>
      </w:r>
      <w:r>
        <w:t xml:space="preserve"> Nenhum dado pessoal, nome real, registro de atendimento ou laudo médico individual de alunos particulares foi inserido nas plataformas de IA. Os perfis trabalhados baseiam-se em personas pedagógicas didáticas orientadas pelas diretrizes do Desenho Universal para a Aprendizagem (DUA).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6262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