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rFonts w:ascii="Calibri" w:hAnsi="Calibri"/>
          <w:b/>
          <w:color w:val="1F4E79"/>
          <w:sz w:val="40"/>
        </w:rPr>
        <w:t>Plano de Aula — Quantidade de Movimento</w:t>
      </w:r>
    </w:p>
    <w:p>
      <w:pPr>
        <w:spacing w:before="40" w:after="80" w:line="276" w:lineRule="auto"/>
      </w:pPr>
      <w:r>
        <w:rPr>
          <w:b/>
        </w:rPr>
        <w:t>Série:</w:t>
      </w:r>
      <w:r>
        <w:t xml:space="preserve"> 1º ano do Ensino Médio</w:t>
        <w:br/>
      </w:r>
    </w:p>
    <w:p>
      <w:pPr>
        <w:spacing w:before="40" w:after="80" w:line="276" w:lineRule="auto"/>
      </w:pPr>
      <w:r>
        <w:rPr>
          <w:b/>
        </w:rPr>
        <w:t>Duração:</w:t>
      </w:r>
      <w:r>
        <w:t xml:space="preserve"> 50 minutos</w:t>
        <w:br/>
      </w:r>
    </w:p>
    <w:p>
      <w:pPr>
        <w:spacing w:before="40" w:after="80" w:line="276" w:lineRule="auto"/>
      </w:pPr>
      <w:r>
        <w:rPr>
          <w:b/>
        </w:rPr>
        <w:t>Tema:</w:t>
      </w:r>
      <w:r>
        <w:t xml:space="preserve"> Quantidade de Movimento (Momento Linear)</w:t>
        <w:br/>
      </w:r>
    </w:p>
    <w:p>
      <w:pPr>
        <w:spacing w:before="40" w:after="80" w:line="276" w:lineRule="auto"/>
      </w:pPr>
      <w:r>
        <w:rPr>
          <w:b/>
        </w:rPr>
        <w:t>Professor Responsável:</w:t>
      </w:r>
      <w:r>
        <w:t xml:space="preserve"> Victor Palmeira</w:t>
      </w:r>
    </w:p>
    <w:p>
      <w:pPr>
        <w:spacing w:before="80" w:after="80"/>
      </w:pPr>
      <w:r>
        <w:rPr>
          <w:color w:val="AAAAAA"/>
        </w:rPr>
        <w:t>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1. Objetivos de Aprendizagem</w:t>
      </w:r>
    </w:p>
    <w:p>
      <w:pPr>
        <w:spacing w:before="40" w:after="80" w:line="276" w:lineRule="auto"/>
      </w:pPr>
      <w:r>
        <w:t>Ao final da aula, o estudante deverá ser capaz de:</w:t>
      </w:r>
    </w:p>
    <w:p>
      <w:pPr>
        <w:pStyle w:val="ListBullet"/>
        <w:spacing w:before="20" w:after="40"/>
      </w:pPr>
      <w:r>
        <w:t>Definir quantidade de movimento (momento linear) e identificar massa e velocidade na relação p = m · v.</w:t>
      </w:r>
    </w:p>
    <w:p>
      <w:pPr>
        <w:pStyle w:val="ListBullet"/>
        <w:spacing w:before="20" w:after="40"/>
      </w:pPr>
      <w:r>
        <w:t>Calcular o módulo da quantidade de movimento em situações simples e informar sua unidade correta no SI (kg·m/s).</w:t>
      </w:r>
    </w:p>
    <w:p>
      <w:pPr>
        <w:pStyle w:val="ListBullet"/>
        <w:spacing w:before="20" w:after="40"/>
      </w:pPr>
      <w:r>
        <w:t>Relacionar a direção e o sentido de p aos da velocidade, reconhecendo seu caráter vetorial.</w:t>
      </w:r>
    </w:p>
    <w:p>
      <w:pPr>
        <w:pStyle w:val="ListBullet"/>
        <w:spacing w:before="20" w:after="40"/>
      </w:pPr>
      <w:r>
        <w:t>Comparar situações cotidianas e reconhecer qualitativamente a ideia de que a quantidade de movimento total pode se conservar em um sistema isolado, sem desenvolver o formalismo algébrico nesta aula.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2. Conteúdo Programático</w:t>
      </w:r>
    </w:p>
    <w:p>
      <w:pPr>
        <w:pStyle w:val="ListBullet"/>
        <w:spacing w:before="20" w:after="40"/>
      </w:pPr>
      <w:r>
        <w:t>Definição física de quantidade de movimento (momento linear)</w:t>
      </w:r>
    </w:p>
    <w:p>
      <w:pPr>
        <w:pStyle w:val="ListBullet"/>
        <w:spacing w:before="20" w:after="40"/>
      </w:pPr>
      <w:r>
        <w:t>Expressão matemática: p = m · v</w:t>
      </w:r>
    </w:p>
    <w:p>
      <w:pPr>
        <w:pStyle w:val="ListBullet"/>
        <w:spacing w:before="20" w:after="40"/>
      </w:pPr>
      <w:r>
        <w:t>Unidade de medida no Sistema Internacional (kg·m/s)</w:t>
      </w:r>
    </w:p>
    <w:p>
      <w:pPr>
        <w:pStyle w:val="ListBullet"/>
        <w:spacing w:before="20" w:after="40"/>
      </w:pPr>
      <w:r>
        <w:t>Caráter vetorial: direção e sentido coincidentes com os da velocidade</w:t>
      </w:r>
    </w:p>
    <w:p>
      <w:pPr>
        <w:pStyle w:val="ListBullet"/>
        <w:spacing w:before="20" w:after="40"/>
      </w:pPr>
      <w:r>
        <w:t>Exemplos práticos do cotidiano e distinção entre quantidade de movimento, força e frenagem</w:t>
      </w:r>
    </w:p>
    <w:p>
      <w:pPr>
        <w:pStyle w:val="ListBullet"/>
        <w:spacing w:before="20" w:after="40"/>
      </w:pPr>
      <w:r>
        <w:t>Introdução qualitativa à conservação da quantidade de movimento total em sistemas isolados (introdução preparatória para a aula seguinte)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3. Metodologia</w:t>
      </w:r>
    </w:p>
    <w:p>
      <w:pPr>
        <w:spacing w:before="40" w:after="80" w:line="276" w:lineRule="auto"/>
      </w:pPr>
      <w:r>
        <w:t>Aula interativa estruturada em:</w:t>
      </w:r>
    </w:p>
    <w:p>
      <w:pPr>
        <w:pStyle w:val="ListBullet"/>
        <w:spacing w:before="20" w:after="40"/>
      </w:pPr>
      <w:r>
        <w:rPr>
          <w:b/>
        </w:rPr>
        <w:t>Problematização inicial:</w:t>
      </w:r>
      <w:r>
        <w:t xml:space="preserve"> situação cotidiana com carrinhos de massas diferentes para instigar a turma.</w:t>
      </w:r>
    </w:p>
    <w:p>
      <w:pPr>
        <w:pStyle w:val="ListBullet"/>
        <w:spacing w:before="20" w:after="40"/>
      </w:pPr>
      <w:r>
        <w:rPr>
          <w:b/>
        </w:rPr>
        <w:t>Exposição dialogada:</w:t>
      </w:r>
      <w:r>
        <w:t xml:space="preserve"> apresentação participativa da fórmula, grandezas e unidades.</w:t>
      </w:r>
    </w:p>
    <w:p>
      <w:pPr>
        <w:pStyle w:val="ListBullet"/>
        <w:spacing w:before="20" w:after="40"/>
      </w:pPr>
      <w:r>
        <w:rPr>
          <w:b/>
        </w:rPr>
        <w:t>Exemplos guiados:</w:t>
      </w:r>
      <w:r>
        <w:t xml:space="preserve"> resolução coletiva no quadro destacando módulo e sentido vetorial.</w:t>
      </w:r>
    </w:p>
    <w:p>
      <w:pPr>
        <w:pStyle w:val="ListBullet"/>
        <w:spacing w:before="20" w:after="40"/>
      </w:pPr>
      <w:r>
        <w:rPr>
          <w:b/>
        </w:rPr>
        <w:t>Comparação prática guiada:</w:t>
      </w:r>
      <w:r>
        <w:t xml:space="preserve"> análise dirigida dos casos A, B e C em duplas.</w:t>
      </w:r>
    </w:p>
    <w:p>
      <w:pPr>
        <w:pStyle w:val="ListBullet"/>
        <w:spacing w:before="20" w:after="40"/>
      </w:pPr>
      <w:r>
        <w:rPr>
          <w:b/>
        </w:rPr>
        <w:t>Aplicação diferenciada:</w:t>
      </w:r>
      <w:r>
        <w:t xml:space="preserve"> resolução de questões selecionadas com andaimes para perfis distintos.</w:t>
      </w:r>
    </w:p>
    <w:p>
      <w:pPr>
        <w:pStyle w:val="ListBullet"/>
        <w:spacing w:before="20" w:after="40"/>
      </w:pPr>
      <w:r>
        <w:rPr>
          <w:b/>
        </w:rPr>
        <w:t>Sistematização e fechamento:</w:t>
      </w:r>
      <w:r>
        <w:t xml:space="preserve"> síntese coletiva dos conceitos fundamentais.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4. Recursos Necessários</w:t>
      </w:r>
    </w:p>
    <w:p>
      <w:pPr>
        <w:pStyle w:val="ListBullet"/>
        <w:spacing w:before="20" w:after="40"/>
      </w:pPr>
      <w:r>
        <w:t>Projetor multimídia / TV para exibição dos slides</w:t>
      </w:r>
    </w:p>
    <w:p>
      <w:pPr>
        <w:pStyle w:val="ListBullet"/>
        <w:spacing w:before="20" w:after="40"/>
      </w:pPr>
      <w:r>
        <w:t>Apresentação em PowerPoint (Apresentacao_Aula_IA.pptx)</w:t>
      </w:r>
    </w:p>
    <w:p>
      <w:pPr>
        <w:pStyle w:val="ListBullet"/>
        <w:spacing w:before="20" w:after="40"/>
      </w:pPr>
      <w:r>
        <w:t>Quadro branco / digital e marcadores coloridos</w:t>
      </w:r>
    </w:p>
    <w:p>
      <w:pPr>
        <w:pStyle w:val="ListBullet"/>
        <w:spacing w:before="20" w:after="40"/>
      </w:pPr>
      <w:r>
        <w:t>Materiais impressos ou digitais diferenciados (materiais_perfil_padrao e materiais_perfil_tdah)</w:t>
      </w:r>
    </w:p>
    <w:p>
      <w:pPr>
        <w:pStyle w:val="ListBullet"/>
        <w:spacing w:before="20" w:after="40"/>
      </w:pPr>
      <w:r>
        <w:t>Cronômetro ou temporizador visual projetado (recurso de suporte ao foco para o perfil TDAH)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5. Desenvolvimento da Aula (cronograma passo a passo)</w:t>
      </w:r>
    </w:p>
    <w:p>
      <w:pPr>
        <w:spacing w:before="40" w:after="80" w:line="276" w:lineRule="auto"/>
      </w:pPr>
      <w:r>
        <w:rPr>
          <w:b/>
        </w:rPr>
        <w:t>00–05 min | Abertura e problematização</w:t>
      </w:r>
      <w:r>
        <w:br/>
      </w:r>
    </w:p>
    <w:p>
      <w:pPr>
        <w:spacing w:before="40" w:after="80" w:line="276" w:lineRule="auto"/>
      </w:pPr>
      <w:r>
        <w:t>Apresentar dois carrinhos de massas diferentes movendo-se no mesmo sentido com velocidades semelhantes. Lançar a pergunta mobilizadora: *“Como a massa e a velocidade influenciam o movimento acumulado de um corpo?”*. Coletar hipóteses rápidas dos alunos. Esclarecer logo de início que quantidade de movimento não é força e não define sozinha o tempo ou a distância de frenagem.</w:t>
      </w:r>
    </w:p>
    <w:p>
      <w:pPr>
        <w:spacing w:before="40" w:after="80" w:line="276" w:lineRule="auto"/>
      </w:pPr>
      <w:r>
        <w:rPr>
          <w:b/>
        </w:rPr>
        <w:t>05–15 min | Construção do conceito e formalização</w:t>
      </w:r>
      <w:r>
        <w:br/>
      </w:r>
    </w:p>
    <w:p>
      <w:pPr>
        <w:spacing w:before="40" w:after="80" w:line="276" w:lineRule="auto"/>
      </w:pPr>
      <w:r>
        <w:t>Definir formalmente quantidade de movimento pelo vetor p = m · v. Destacar cada grandeza: massa (m, escalar positiva) e velocidade (v, vetorial). Apresentar a unidade no SI (kg·m/s). Enfatizar que p possui a mesma direção e sentido de v. Diferenciar conceitualmente momento de força resultante e impulso.</w:t>
      </w:r>
    </w:p>
    <w:p>
      <w:pPr>
        <w:spacing w:before="40" w:after="80" w:line="276" w:lineRule="auto"/>
      </w:pPr>
      <w:r>
        <w:rPr>
          <w:b/>
        </w:rPr>
        <w:t>15–25 min | Exemplos e aplicação guiada</w:t>
      </w:r>
      <w:r>
        <w:br/>
      </w:r>
    </w:p>
    <w:p>
      <w:pPr>
        <w:spacing w:before="40" w:after="80" w:line="276" w:lineRule="auto"/>
      </w:pPr>
      <w:r>
        <w:t>Resolver dois exemplos com a turma no quadro:</w:t>
      </w:r>
    </w:p>
    <w:p>
      <w:pPr>
        <w:pStyle w:val="ListNumber"/>
        <w:spacing w:before="20" w:after="40"/>
      </w:pPr>
      <w:r>
        <w:t>Cálculo direto de módulo: bola de 0,4\,kg a 20\,m/s (p = 8\,kg·m/s).</w:t>
      </w:r>
    </w:p>
    <w:p>
      <w:pPr>
        <w:pStyle w:val="ListNumber"/>
        <w:spacing w:before="20" w:after="40"/>
      </w:pPr>
      <w:r>
        <w:t>Comparação vetorial no mesmo eixo horizontal com sentidos opostos (+x e -x), evidenciando que vetores com sentidos contrários não são iguais, mesmo com mesmo módulo.</w:t>
      </w:r>
    </w:p>
    <w:p>
      <w:pPr>
        <w:spacing w:before="40" w:after="80" w:line="276" w:lineRule="auto"/>
      </w:pPr>
      <w:r>
        <w:rPr>
          <w:b/>
        </w:rPr>
        <w:t>25–40 min | Comparação prática e exercícios selecionados</w:t>
      </w:r>
      <w:r>
        <w:br/>
      </w:r>
    </w:p>
    <w:p>
      <w:pPr>
        <w:pStyle w:val="ListBullet"/>
        <w:spacing w:before="20" w:after="40"/>
      </w:pPr>
      <w:r>
        <w:t>*Etapa 1 (7 min):* Comparação guiada dos casos A, B e C (carrinhos com variações de massa e rapidez).</w:t>
      </w:r>
    </w:p>
    <w:p>
      <w:pPr>
        <w:pStyle w:val="ListBullet"/>
        <w:spacing w:before="20" w:after="40"/>
      </w:pPr>
      <w:r>
        <w:t>*Etapa 2 (8 min):* Resolução em sala de questões selecionadas das folhas diferenciadas (Questões 1 e 3). Os estudantes com perfil TDAH recebem a folha com etapas particionadas, destaque visual e permissão de resposta oral ou por representação esquemática. As questões restantes podem ser concluídas como tarefa.</w:t>
      </w:r>
    </w:p>
    <w:p>
      <w:pPr>
        <w:spacing w:before="40" w:after="80" w:line="276" w:lineRule="auto"/>
      </w:pPr>
      <w:r>
        <w:rPr>
          <w:b/>
        </w:rPr>
        <w:t>40–50 min | Sistematização, conservação e fechamento</w:t>
      </w:r>
      <w:r>
        <w:br/>
      </w:r>
    </w:p>
    <w:p>
      <w:pPr>
        <w:spacing w:before="40" w:after="80" w:line="276" w:lineRule="auto"/>
      </w:pPr>
      <w:r>
        <w:t>Retomar a problematização inicial. Sintetizar os conceitos centrais: fórmula, unidades e caráter vetorial. Apresentar qualitativamente a ideia de que, em um sistema isolado (sem forças externas resultantes), a quantidade de movimento total permanece constante — preparando o terreno para a próxima aula sobre colisões. Espaço para dúvidas finais.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6. Avaliação Formativa</w:t>
      </w:r>
    </w:p>
    <w:p>
      <w:pPr>
        <w:spacing w:before="40" w:after="80" w:line="276" w:lineRule="auto"/>
      </w:pPr>
      <w:r>
        <w:t>A avaliação é processual e formativa, observando:</w:t>
      </w:r>
    </w:p>
    <w:p>
      <w:pPr>
        <w:pStyle w:val="ListBullet"/>
        <w:spacing w:before="20" w:after="40"/>
      </w:pPr>
      <w:r>
        <w:t>Participação nas discussões e na problematização inicial;</w:t>
      </w:r>
    </w:p>
    <w:p>
      <w:pPr>
        <w:pStyle w:val="ListBullet"/>
        <w:spacing w:before="20" w:after="40"/>
      </w:pPr>
      <w:r>
        <w:t>Capacidade de identificar grandezas, calcular o módulo de p e registrar a unidade correta (kg·m/s);</w:t>
      </w:r>
    </w:p>
    <w:p>
      <w:pPr>
        <w:pStyle w:val="ListBullet"/>
        <w:spacing w:before="20" w:after="40"/>
      </w:pPr>
      <w:r>
        <w:t>Reconhecimento da natureza vetorial (direção e sentido);</w:t>
      </w:r>
    </w:p>
    <w:p>
      <w:pPr>
        <w:pStyle w:val="ListBullet"/>
        <w:spacing w:before="20" w:after="40"/>
      </w:pPr>
      <w:r>
        <w:t>Interpretação física na diferenciação entre quantidade de movimento e distância de parada;</w:t>
      </w:r>
    </w:p>
    <w:p>
      <w:pPr>
        <w:pStyle w:val="ListBullet"/>
        <w:spacing w:before="20" w:after="40"/>
      </w:pPr>
      <w:r>
        <w:t>Acolhimento de múltiplas linguagens de expressão da aprendizagem (cálculo algébrico, diagramas de vetores com setas ou explicação verbal).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7. Diferenciação Pedagógica</w:t>
      </w:r>
    </w:p>
    <w:p>
      <w:pPr>
        <w:spacing w:before="160" w:after="40"/>
      </w:pPr>
      <w:r>
        <w:rPr>
          <w:rFonts w:ascii="Calibri" w:hAnsi="Calibri"/>
          <w:b/>
          <w:color w:val="333333"/>
          <w:sz w:val="24"/>
        </w:rPr>
        <w:t>7.1 Perfil sem adaptação específica (Padrão)</w:t>
      </w:r>
    </w:p>
    <w:p>
      <w:pPr>
        <w:pStyle w:val="ListBullet"/>
        <w:spacing w:before="20" w:after="40"/>
      </w:pPr>
      <w:r>
        <w:t>Texto didático expositivo com densidade textual completa e contextualização aprofundada;</w:t>
      </w:r>
    </w:p>
    <w:p>
      <w:pPr>
        <w:pStyle w:val="ListBullet"/>
        <w:spacing w:before="20" w:after="40"/>
      </w:pPr>
      <w:r>
        <w:t>Questões dissertativas abertas com justificativas teóricas completas;</w:t>
      </w:r>
    </w:p>
    <w:p>
      <w:pPr>
        <w:pStyle w:val="ListBullet"/>
        <w:spacing w:before="20" w:after="40"/>
      </w:pPr>
      <w:r>
        <w:t>Incentivo ao raciocínio em múltiplas etapas autônomas.</w:t>
      </w:r>
    </w:p>
    <w:p>
      <w:pPr>
        <w:spacing w:before="160" w:after="40"/>
      </w:pPr>
      <w:r>
        <w:rPr>
          <w:rFonts w:ascii="Calibri" w:hAnsi="Calibri"/>
          <w:b/>
          <w:color w:val="333333"/>
          <w:sz w:val="24"/>
        </w:rPr>
        <w:t>7.2 Perfil com TDAH</w:t>
      </w:r>
    </w:p>
    <w:p>
      <w:pPr>
        <w:pStyle w:val="ListBullet"/>
        <w:spacing w:before="20" w:after="40"/>
      </w:pPr>
      <w:r>
        <w:t>Instruções curtas, sequenciais e particionadas em etapas explícitas (Passo 1, Passo 2...);</w:t>
      </w:r>
    </w:p>
    <w:p>
      <w:pPr>
        <w:pStyle w:val="ListBullet"/>
        <w:spacing w:before="20" w:after="40"/>
      </w:pPr>
      <w:r>
        <w:t>Fórmulas, grandezas e dados numéricos destacados em negrito e caixas visuais limpas;</w:t>
      </w:r>
    </w:p>
    <w:p>
      <w:pPr>
        <w:pStyle w:val="ListBullet"/>
        <w:spacing w:before="20" w:after="40"/>
      </w:pPr>
      <w:r>
        <w:t>Temporização clara informada no início de cada bloco com suporte de cronômetro visual;</w:t>
      </w:r>
    </w:p>
    <w:p>
      <w:pPr>
        <w:pStyle w:val="ListBullet"/>
        <w:spacing w:before="20" w:after="40"/>
      </w:pPr>
      <w:r>
        <w:t>Flexibilização nas formas de resolução (cálculo numérico, desenho de setas/vetores ou respostas orais);</w:t>
      </w:r>
    </w:p>
    <w:p>
      <w:pPr>
        <w:pStyle w:val="ListBullet"/>
        <w:spacing w:before="20" w:after="40"/>
      </w:pPr>
      <w:r>
        <w:t>Manutenção rigorosa dos mesmos objetivos de aprendizagem e conteúdo científico, sem condescendência ou infantilização da linguagem.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8. Referências</w:t>
      </w:r>
    </w:p>
    <w:p>
      <w:pPr>
        <w:pStyle w:val="ListBullet"/>
        <w:spacing w:before="20" w:after="40"/>
      </w:pPr>
      <w:r>
        <w:t>BRASIL. Ministério da Educação. *Base Nacional Comum Curricular (BNCC)*: etapa do Ensino Médio, área de Ciências da Natureza e suas Tecnologias. Brasília: MEC, 2018.</w:t>
      </w:r>
    </w:p>
    <w:p>
      <w:pPr>
        <w:pStyle w:val="ListBullet"/>
        <w:spacing w:before="20" w:after="40"/>
      </w:pPr>
      <w:r>
        <w:t>HALLIDAY, David; RESNICK, Robert; WALKER, Jearl. *Fundamentos de Física*, volume 1: Mecânica. Rio de Janeiro: LTC (edição, ano e capítulo a confirmar pelo docente conforme o exemplar institucional utilizado).</w:t>
      </w:r>
    </w:p>
    <w:p>
      <w:pPr>
        <w:pStyle w:val="ListBullet"/>
        <w:spacing w:before="20" w:after="40"/>
      </w:pPr>
      <w:r>
        <w:t>HELERBROCK, Rafael. Quantidade de movimento: conceito, fórmula, impulso. *Mundo Educação*, atualizado em 12 jun. 2020. Acesso em: 23 out. 2026. (Fonte de consulta conceitual para a elaboração das questões autorais).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9. Transparência sobre o Uso de IA, Ética e Proteção de Dados (LGPD)</w:t>
      </w:r>
    </w:p>
    <w:p>
      <w:pPr>
        <w:pStyle w:val="ListBullet"/>
        <w:spacing w:before="20" w:after="40"/>
      </w:pPr>
      <w:r>
        <w:rPr>
          <w:b/>
        </w:rPr>
        <w:t>Apoio de IA e Autoria Docente:</w:t>
      </w:r>
      <w:r>
        <w:t xml:space="preserve"> Este plano e seus materiais complementares foram elaborados com suporte de ferramentas de Inteligência Artificial generativa (ChatGPT e Microsoft Copilot). A autoria, a formulação pedagógica, a revisão conceitual de física e a validação final são integralmente do professor Victor Palmeira. A IA atuou como ferramenta de apoio técnico e agilidade produtiva.</w:t>
      </w:r>
    </w:p>
    <w:p>
      <w:pPr>
        <w:pStyle w:val="ListBullet"/>
        <w:spacing w:before="20" w:after="40"/>
      </w:pPr>
      <w:r>
        <w:rPr>
          <w:b/>
        </w:rPr>
        <w:t>Conformidade com a LGPD (Lei nº 13.709/2018):</w:t>
      </w:r>
      <w:r>
        <w:t xml:space="preserve"> Em estrito respeito à privacidade e à legislação de proteção de dados, nenhuma informação pessoal identificável de estudantes reais (como nomes, matrículas ou diagnósticos clínicos) foi compartilhada ou inserida nas plataformas públicas de IA. O perfil para estudante com TDAH foi formulado a partir de personas didáticas fictícias fundamentadas no Desenho Universal para a Aprendizagem (DUA).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