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Calibri" w:hAnsi="Calibri"/>
          <w:b/>
          <w:color w:val="1F4E79"/>
          <w:sz w:val="40"/>
        </w:rPr>
        <w:t>Reflexão sobre o uso de Inteligência Artificial</w:t>
      </w:r>
    </w:p>
    <w:p>
      <w:pPr>
        <w:spacing w:before="40" w:after="80" w:line="276" w:lineRule="auto"/>
      </w:pPr>
      <w:r>
        <w:rPr>
          <w:b/>
        </w:rPr>
        <w:t>Tema da Aula:</w:t>
      </w:r>
      <w:r>
        <w:t xml:space="preserve"> Quantidade de Movimento (Momento Linear)</w:t>
      </w:r>
    </w:p>
    <w:p>
      <w:pPr>
        <w:spacing w:before="40" w:after="80" w:line="276" w:lineRule="auto"/>
      </w:pPr>
      <w:r>
        <w:rPr>
          <w:b/>
        </w:rPr>
        <w:t>Professor Responsável:</w:t>
      </w:r>
      <w:r>
        <w:t xml:space="preserve"> Victor Palmeira</w:t>
      </w:r>
    </w:p>
    <w:p>
      <w:pPr>
        <w:spacing w:before="40" w:after="80" w:line="276" w:lineRule="auto"/>
      </w:pPr>
      <w:r>
        <w:rPr>
          <w:b/>
        </w:rPr>
        <w:t>Disciplina:</w:t>
      </w:r>
      <w:r>
        <w:t xml:space="preserve"> Física — 1º ano do Ensino Médio</w:t>
      </w:r>
    </w:p>
    <w:p>
      <w:pPr>
        <w:spacing w:before="80" w:after="80"/>
      </w:pPr>
      <w:r>
        <w:rPr>
          <w:color w:val="AAAAAA"/>
        </w:rPr>
        <w:t>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rFonts w:ascii="Calibri" w:hAnsi="Calibri"/>
          <w:b/>
          <w:color w:val="2F5597"/>
          <w:sz w:val="28"/>
        </w:rPr>
        <w:t>1. Ferramentas Utilizadas</w:t>
      </w:r>
    </w:p>
    <w:p>
      <w:pPr>
        <w:pStyle w:val="ListBullet"/>
        <w:spacing w:before="20" w:after="40"/>
      </w:pPr>
      <w:r>
        <w:rPr>
          <w:b/>
        </w:rPr>
        <w:t>ChatGPT (OpenAI)</w:t>
      </w:r>
      <w:r>
        <w:t>: Estruturação inicial do esqueleto do plano de aula, formulação de textos explicativos, elaboração de exercícios contextualizados e desenho de estratégias pedagógicas diferenciadas para os dois perfis de estudantes (padrão e TDAH).</w:t>
      </w:r>
    </w:p>
    <w:p>
      <w:pPr>
        <w:pStyle w:val="ListBullet"/>
        <w:spacing w:before="20" w:after="40"/>
      </w:pPr>
      <w:r>
        <w:rPr>
          <w:b/>
        </w:rPr>
        <w:t>Microsoft Copilot no Word</w:t>
      </w:r>
      <w:r>
        <w:t>: Apoio na organização textual, formatação tipográfica, revisão de coesão e redação de roteiros complementares.</w:t>
      </w:r>
    </w:p>
    <w:p>
      <w:pPr>
        <w:pStyle w:val="ListBullet"/>
        <w:spacing w:before="20" w:after="40"/>
      </w:pPr>
      <w:r>
        <w:rPr>
          <w:b/>
        </w:rPr>
        <w:t>Microsoft Copilot no PowerPoint</w:t>
      </w:r>
      <w:r>
        <w:t>: Apoio na concepção da estrutura visual dos slides, seleção de layout limpo e distribuição equilibrada de conteúdo por slide.</w:t>
      </w:r>
    </w:p>
    <w:p>
      <w:pPr>
        <w:pStyle w:val="ListBullet"/>
        <w:spacing w:before="20" w:after="40"/>
      </w:pPr>
      <w:r>
        <w:rPr>
          <w:b/>
        </w:rPr>
        <w:t>GitHub</w:t>
      </w:r>
      <w:r>
        <w:t>: Hospedagem versionada, documentação transparente e disponibilização pública de todos os recursos didáticos e prompts geradores.</w:t>
      </w:r>
    </w:p>
    <w:p>
      <w:pPr>
        <w:spacing w:before="80" w:after="80"/>
      </w:pPr>
      <w:r>
        <w:rPr>
          <w:color w:val="AAAAAA"/>
        </w:rPr>
        <w:t>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rFonts w:ascii="Calibri" w:hAnsi="Calibri"/>
          <w:b/>
          <w:color w:val="2F5597"/>
          <w:sz w:val="28"/>
        </w:rPr>
        <w:t>2. Como a IA Apoiou o Processo Docente</w:t>
      </w:r>
    </w:p>
    <w:p>
      <w:pPr>
        <w:spacing w:before="40" w:after="80" w:line="276" w:lineRule="auto"/>
      </w:pPr>
      <w:r>
        <w:t>A Inteligência Artificial atuou como um acelerador e copiloto de planejamento pedagógico. O ecossistema de ferramentas permitiu:</w:t>
      </w:r>
    </w:p>
    <w:p>
      <w:pPr>
        <w:pStyle w:val="ListNumber"/>
        <w:spacing w:before="20" w:after="40"/>
      </w:pPr>
      <w:r>
        <w:rPr>
          <w:b/>
        </w:rPr>
        <w:t>Agilidade no rascunho de materiais:</w:t>
      </w:r>
      <w:r>
        <w:t xml:space="preserve"> Redução expressiva no tempo gasto com digitação mecânica e formatação inicial de tabelas e listas.</w:t>
      </w:r>
    </w:p>
    <w:p>
      <w:pPr>
        <w:pStyle w:val="ListNumber"/>
        <w:spacing w:before="20" w:after="40"/>
      </w:pPr>
      <w:r>
        <w:rPr>
          <w:b/>
        </w:rPr>
        <w:t>Diferenciação inclusiva:</w:t>
      </w:r>
      <w:r>
        <w:t xml:space="preserve"> Criação rápida de duas abordagens para o mesmo conteúdo curricular — uma expositiva tradicional e outra com andaimes cognitivos (instruções particionadas, destaque visual de fórmulas e flexibilidade de formatos de resposta) para o estudante com TDAH.</w:t>
      </w:r>
    </w:p>
    <w:p>
      <w:pPr>
        <w:pStyle w:val="ListNumber"/>
        <w:spacing w:before="20" w:after="40"/>
      </w:pPr>
      <w:r>
        <w:rPr>
          <w:b/>
        </w:rPr>
        <w:t>Internacionalização imediata:</w:t>
      </w:r>
      <w:r>
        <w:t xml:space="preserve"> Tradução e adequação pedagógica de um trecho conceitual para língua inglesa, permitindo práticas bilíngues ou acolhimento de estudantes com outra língua materna.</w:t>
      </w:r>
    </w:p>
    <w:p>
      <w:pPr>
        <w:spacing w:before="40" w:after="80" w:line="276" w:lineRule="auto"/>
      </w:pPr>
      <w:r>
        <w:t>A IA funciona como um catalisador de ideias, mas sua saída exige constante curadoria e julgamento profissional docente.</w:t>
      </w:r>
    </w:p>
    <w:p>
      <w:pPr>
        <w:spacing w:before="80" w:after="80"/>
      </w:pPr>
      <w:r>
        <w:rPr>
          <w:color w:val="AAAAAA"/>
        </w:rPr>
        <w:t>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rFonts w:ascii="Calibri" w:hAnsi="Calibri"/>
          <w:b/>
          <w:color w:val="2F5597"/>
          <w:sz w:val="28"/>
        </w:rPr>
        <w:t>3. Limitações Identificadas e Mitigação de Vieses/Alucinações</w:t>
      </w:r>
    </w:p>
    <w:p>
      <w:pPr>
        <w:spacing w:before="40" w:after="80" w:line="276" w:lineRule="auto"/>
      </w:pPr>
      <w:r>
        <w:t>Durante os testes e a produção dos conteúdos com os modelos de linguagem, foram observadas fragilidades conceituais recorrentes que exigiram intervenção humana direta:</w:t>
      </w:r>
    </w:p>
    <w:p>
      <w:pPr>
        <w:pStyle w:val="ListBullet"/>
        <w:spacing w:before="20" w:after="40"/>
      </w:pPr>
      <w:r>
        <w:rPr>
          <w:b/>
        </w:rPr>
        <w:t>Confusão física entre Quantidade de Movimento, Força e Frenagem:</w:t>
      </w:r>
      <w:r>
        <w:t xml:space="preserve"> Em versões iniciais, os modelos tenderam a associar diretamente que um corpo com maior quantidade de movimento "tem mais força" ou "demora necessariamente mais metros para parar". Isso constitui um erro conceitual clássico na Física. O plano e os exercícios foram rigorosamente revisados para deixar claro que p é uma medida do estado dinâmico (m · v), enquanto parar depende do impulso da força resultante (Δ p = \vec{F}_{\text{res}} Δ t) e da dissipação de energia cinética pelos freios e atrito.</w:t>
      </w:r>
    </w:p>
    <w:p>
      <w:pPr>
        <w:pStyle w:val="ListBullet"/>
        <w:spacing w:before="20" w:after="40"/>
      </w:pPr>
      <w:r>
        <w:rPr>
          <w:b/>
        </w:rPr>
        <w:t>Risco de condescendência no perfil TDAH:</w:t>
      </w:r>
      <w:r>
        <w:t xml:space="preserve"> A IA frequentemente reduzia a complexidade do conteúdo ou infantilizava a linguagem ao ser solicitada para adaptar para TDAH. Foi necessário calibrar o prompt para garantir que os </w:t>
      </w:r>
      <w:r>
        <w:rPr>
          <w:b/>
        </w:rPr>
        <w:t>objetivos de aprendizagem e o rigor físico permanecessem 100% idênticos</w:t>
      </w:r>
      <w:r>
        <w:t>, alterando apenas a formatação, o particionamento das etapas e a redução de ruído visual.</w:t>
      </w:r>
    </w:p>
    <w:p>
      <w:pPr>
        <w:pStyle w:val="ListBullet"/>
        <w:spacing w:before="20" w:after="40"/>
      </w:pPr>
      <w:r>
        <w:rPr>
          <w:b/>
        </w:rPr>
        <w:t>Referências bibliográficas imprecisas:</w:t>
      </w:r>
      <w:r>
        <w:t xml:space="preserve"> IAs generativas costumam alucinar páginas, anos ou edições de livros clássicos como *Halliday &amp; Resnick*. As referências foram sinalizadas para conferência física do exemplar específico adotado pela instituição.</w:t>
      </w:r>
    </w:p>
    <w:p>
      <w:pPr>
        <w:spacing w:before="80" w:after="80"/>
      </w:pPr>
      <w:r>
        <w:rPr>
          <w:color w:val="AAAAAA"/>
        </w:rPr>
        <w:t>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rFonts w:ascii="Calibri" w:hAnsi="Calibri"/>
          <w:b/>
          <w:color w:val="2F5597"/>
          <w:sz w:val="28"/>
        </w:rPr>
        <w:t>4. Decisões Pedagógicas Tomadas pelo Professor</w:t>
      </w:r>
    </w:p>
    <w:p>
      <w:pPr>
        <w:spacing w:before="40" w:after="80" w:line="276" w:lineRule="auto"/>
      </w:pPr>
      <w:r>
        <w:t>Diante do material gerado, as seguintes diretrizes soberanas foram estabelecidas pelo docente:</w:t>
      </w:r>
    </w:p>
    <w:p>
      <w:pPr>
        <w:pStyle w:val="ListBullet"/>
        <w:spacing w:before="20" w:after="40"/>
      </w:pPr>
      <w:r>
        <w:rPr>
          <w:b/>
        </w:rPr>
        <w:t>Manutenção estrita do rigor conceitual:</w:t>
      </w:r>
      <w:r>
        <w:t xml:space="preserve"> Ambos os perfis realizam as mesmas contas, aprendem as mesmas grandezas e lidam com o caráter vetorial de p. A inclusão não diminui a expectativa de aprendizagem, mas viabiliza o acesso.</w:t>
      </w:r>
    </w:p>
    <w:p>
      <w:pPr>
        <w:pStyle w:val="ListBullet"/>
        <w:spacing w:before="20" w:after="40"/>
      </w:pPr>
      <w:r>
        <w:rPr>
          <w:b/>
        </w:rPr>
        <w:t>Atividade prática controlada:</w:t>
      </w:r>
      <w:r>
        <w:t xml:space="preserve"> Substituição de experimentos abertos sem controle de atrito por uma análise guiada com casos numéricos padronizados (Casos A, B e C), garantindo conclusões válidas em 7 minutos.</w:t>
      </w:r>
    </w:p>
    <w:p>
      <w:pPr>
        <w:pStyle w:val="ListBullet"/>
        <w:spacing w:before="20" w:after="40"/>
      </w:pPr>
      <w:r>
        <w:rPr>
          <w:b/>
        </w:rPr>
        <w:t>Transparência total:</w:t>
      </w:r>
      <w:r>
        <w:t xml:space="preserve"> Marcação clara nos documentos de que houve assistência de IA, reafirmando que a responsabilidade e autoria pedagógica final pertencem ao professor Victor Palmeira.</w:t>
      </w:r>
    </w:p>
    <w:p>
      <w:pPr>
        <w:spacing w:before="80" w:after="80"/>
      </w:pPr>
      <w:r>
        <w:rPr>
          <w:color w:val="AAAAAA"/>
        </w:rPr>
        <w:t>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rFonts w:ascii="Calibri" w:hAnsi="Calibri"/>
          <w:b/>
          <w:color w:val="2F5597"/>
          <w:sz w:val="28"/>
        </w:rPr>
        <w:t>5. Ética, Autoria e Proteção de Dados (LGPD)</w:t>
      </w:r>
    </w:p>
    <w:p>
      <w:pPr>
        <w:spacing w:before="40" w:after="80" w:line="276" w:lineRule="auto"/>
      </w:pPr>
      <w:r>
        <w:t xml:space="preserve">O uso de ecossistemas de Inteligência Artificial no ambiente educacional impõe rigoroso compromisso ético e conformidade legal com a </w:t>
      </w:r>
      <w:r>
        <w:rPr>
          <w:b/>
        </w:rPr>
        <w:t>Lei Geral de Proteção de Dados Pessoais (LGPD — Lei nº 13.709/2018)</w:t>
      </w:r>
      <w:r>
        <w:t>:</w:t>
      </w:r>
    </w:p>
    <w:p>
      <w:pPr>
        <w:pStyle w:val="ListNumber"/>
        <w:spacing w:before="20" w:after="40"/>
      </w:pPr>
      <w:r>
        <w:rPr>
          <w:b/>
        </w:rPr>
        <w:t>Princípio da Privacidade e Minimização de Dados:</w:t>
      </w:r>
    </w:p>
    <w:p>
      <w:pPr>
        <w:pStyle w:val="ListBullet"/>
        <w:spacing w:before="20" w:after="40"/>
        <w:ind w:left="720"/>
      </w:pPr>
      <w:r>
        <w:rPr>
          <w:b/>
        </w:rPr>
        <w:t>Nenhum dado pessoal de alunos reais</w:t>
      </w:r>
      <w:r>
        <w:t xml:space="preserve"> (como nomes, idades, endereços, fotos ou históricos escolares) foi inserido nos prompts das plataformas públicas de IA generativa (ChatGPT, Copilot ou similares).</w:t>
      </w:r>
    </w:p>
    <w:p>
      <w:pPr>
        <w:pStyle w:val="ListBullet"/>
        <w:spacing w:before="20" w:after="40"/>
        <w:ind w:left="720"/>
      </w:pPr>
      <w:r>
        <w:t xml:space="preserve">O trabalho com o estudante com TDAH baseou-se exclusivamente em uma </w:t>
      </w:r>
      <w:r>
        <w:rPr>
          <w:b/>
        </w:rPr>
        <w:t>persona pedagógica fictícia e generalizada</w:t>
      </w:r>
      <w:r>
        <w:t>, fundamentada em diretrizes de desenho universal para a aprendizagem (DUA) e neuroeducação, sem expor diagnósticos clínicos, relatórios psicopedagógicos ou laudos médicos individuais.</w:t>
      </w:r>
    </w:p>
    <w:p>
      <w:pPr>
        <w:pStyle w:val="ListNumber"/>
        <w:spacing w:before="20" w:after="40"/>
      </w:pPr>
      <w:r>
        <w:rPr>
          <w:b/>
        </w:rPr>
        <w:t>Autoria e Responsabilidade Intelectual:</w:t>
      </w:r>
    </w:p>
    <w:p>
      <w:pPr>
        <w:pStyle w:val="ListBullet"/>
        <w:spacing w:before="20" w:after="40"/>
        <w:ind w:left="720"/>
      </w:pPr>
      <w:r>
        <w:t>A IA generativa não é autora e não detém direitos intelectuais ou deveres legais. O professor Victor Palmeira é o autor do plano e dos materiais, tendo curado, editado, corrigido e validado cada linha de texto e equação.</w:t>
      </w:r>
    </w:p>
    <w:p>
      <w:pPr>
        <w:pStyle w:val="ListBullet"/>
        <w:spacing w:before="20" w:after="40"/>
        <w:ind w:left="720"/>
      </w:pPr>
      <w:r>
        <w:t>O uso das ferramentas é explicitamente divulgado, promovendo uma cultura de integridade acadêmica e letramento digital ético diante dos alunos e da comunidade escolar.</w:t>
      </w:r>
    </w:p>
    <w:p>
      <w:pPr>
        <w:pStyle w:val="ListNumber"/>
        <w:spacing w:before="20" w:after="40"/>
      </w:pPr>
      <w:r>
        <w:rPr>
          <w:b/>
        </w:rPr>
        <w:t>Segurança e Diretrizes Institucionais:</w:t>
      </w:r>
    </w:p>
    <w:p>
      <w:pPr>
        <w:pStyle w:val="ListBullet"/>
        <w:spacing w:before="20" w:after="40"/>
        <w:ind w:left="720"/>
      </w:pPr>
      <w:r>
        <w:t>O projeto adota a premissa de que qualquer interação com IAs na escola deve respeitar a proteção de crianças e adolescentes (Art. 14 da LGPD), exigindo ambientes fechados e termos de privacidade estritos caso ferramentas inteligentes venham a ser manipuladas diretamente pelos estudantes.</w:t>
      </w:r>
    </w:p>
    <w:p>
      <w:pPr>
        <w:spacing w:before="80" w:after="80"/>
      </w:pPr>
      <w:r>
        <w:rPr>
          <w:color w:val="AAAAAA"/>
        </w:rPr>
        <w:t>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rFonts w:ascii="Calibri" w:hAnsi="Calibri"/>
          <w:b/>
          <w:color w:val="2F5597"/>
          <w:sz w:val="28"/>
        </w:rPr>
        <w:t>6. Aprendizados e Próximos Passos</w:t>
      </w:r>
    </w:p>
    <w:p>
      <w:pPr>
        <w:spacing w:before="40" w:after="80" w:line="276" w:lineRule="auto"/>
      </w:pPr>
      <w:r>
        <w:t>A experiência consolidou o entendimento de que a inteligência artificial é uma valiosa aliada do planejamento docente quando ancorada em:</w:t>
      </w:r>
    </w:p>
    <w:p>
      <w:pPr>
        <w:pStyle w:val="ListBullet"/>
        <w:spacing w:before="20" w:after="40"/>
      </w:pPr>
      <w:r>
        <w:t>Prompts com contexto pedagógico explícito, papéis bem delineados e restrições claras;</w:t>
      </w:r>
    </w:p>
    <w:p>
      <w:pPr>
        <w:pStyle w:val="ListBullet"/>
        <w:spacing w:before="20" w:after="40"/>
      </w:pPr>
      <w:r>
        <w:t>Postura crítica do docente, atuando como árbitro epistemológico do conhecimento físico;</w:t>
      </w:r>
    </w:p>
    <w:p>
      <w:pPr>
        <w:pStyle w:val="ListBullet"/>
        <w:spacing w:before="20" w:after="40"/>
      </w:pPr>
      <w:r>
        <w:t>Compromisso inegociável com a ética e a privacidade dos estudantes.</w:t>
      </w:r>
    </w:p>
    <w:p>
      <w:pPr>
        <w:spacing w:before="40" w:after="80" w:line="276" w:lineRule="auto"/>
      </w:pPr>
      <w:r>
        <w:rPr>
          <w:b/>
        </w:rPr>
        <w:t>Próximos passos:</w:t>
      </w:r>
    </w:p>
    <w:p>
      <w:pPr>
        <w:pStyle w:val="ListBullet"/>
        <w:spacing w:before="20" w:after="40"/>
      </w:pPr>
      <w:r>
        <w:t>Ministrar a aula de 50 minutos na turma de 1º ano e avaliar a recepção do cronômetro visual e dos exercícios em etapas pelo estudante com TDAH;</w:t>
      </w:r>
    </w:p>
    <w:p>
      <w:pPr>
        <w:pStyle w:val="ListBullet"/>
        <w:spacing w:before="20" w:after="40"/>
      </w:pPr>
      <w:r>
        <w:t>Avaliar a necessidade de estender a internacionalização para o espanhol (segundo idioma de maior acolhimento em escolas brasileiras);</w:t>
      </w:r>
    </w:p>
    <w:p>
      <w:pPr>
        <w:pStyle w:val="ListBullet"/>
        <w:spacing w:before="20" w:after="40"/>
      </w:pPr>
      <w:r>
        <w:t>Compartilhar o repositório como modelo de transparência e conformidade pedagógica com a comunidade escolar.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