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Arial" w:hAnsi="Arial" w:cs="Arial"/>
          <w:b/>
          <w:i w:val="0"/>
          <w:sz w:val="32"/>
        </w:rPr>
        <w:t>ПОВЕСТКА</w:t>
      </w:r>
    </w:p>
    <w:p>
      <w:pPr>
        <w:spacing w:after="40" w:before="0"/>
        <w:jc w:val="center"/>
      </w:pPr>
      <w:r>
        <w:rPr>
          <w:rFonts w:ascii="Arial" w:hAnsi="Arial" w:cs="Arial"/>
          <w:b/>
          <w:i w:val="0"/>
          <w:sz w:val="24"/>
        </w:rPr>
        <w:t>очной встречи с представителями ОАО «БЕЛАЗ», АО «ТД БЕЛАЗ», АО «ГПФК» и ООО «БТЛ-Сервис»</w:t>
      </w:r>
    </w:p>
    <w:p>
      <w:pPr>
        <w:spacing w:after="40" w:before="0"/>
        <w:jc w:val="center"/>
      </w:pPr>
      <w:r>
        <w:rPr>
          <w:rFonts w:ascii="Arial" w:hAnsi="Arial" w:cs="Arial"/>
          <w:b w:val="0"/>
          <w:i/>
          <w:sz w:val="22"/>
        </w:rPr>
        <w:t>Вопросы по эксплуатации самосвалов БЕЛАЗ-7513Т на ООО «Полюс Сухой Лог» и АО «Полюс Красноярск»</w:t>
      </w:r>
    </w:p>
    <w:p>
      <w:pPr>
        <w:spacing w:after="360" w:before="0"/>
        <w:jc w:val="center"/>
      </w:pPr>
      <w:r>
        <w:rPr>
          <w:rFonts w:ascii="Arial" w:hAnsi="Arial" w:cs="Arial"/>
          <w:b w:val="0"/>
          <w:i/>
          <w:sz w:val="19"/>
        </w:rPr>
        <w:t>Подготовлено на основании письма ОАО «БЕЛАЗ» исх. № 430-63/1191 от 05.08.2026, письма ООО «БТЛ-Сервис» исх. № 983 БТЛ-СЧ/ИП от 04.08.2026 и протоколов мероприятий ГПФК/БТЛ по состоянию на 18–20.08.2026</w:t>
      </w:r>
    </w:p>
    <w:p>
      <w:pPr>
        <w:spacing w:after="120" w:before="320"/>
      </w:pPr>
      <w:r>
        <w:rPr>
          <w:rFonts w:ascii="Arial" w:hAnsi="Arial" w:cs="Arial"/>
          <w:b/>
          <w:i w:val="0"/>
          <w:sz w:val="26"/>
        </w:rPr>
        <w:t>1. УВТР / тормозные резисторы (ООО «Полюс Сухой Лог»)</w:t>
      </w:r>
    </w:p>
    <w:p>
      <w:pPr>
        <w:pStyle w:val="ListBullet"/>
        <w:spacing w:after="80"/>
        <w:ind w:left="397"/>
      </w:pPr>
      <w:r>
        <w:rPr>
          <w:rFonts w:ascii="Arial" w:hAnsi="Arial" w:cs="Arial"/>
          <w:b w:val="0"/>
          <w:i w:val="0"/>
          <w:sz w:val="21"/>
        </w:rPr>
        <w:t>Подтвердить статус монтажа и наладки 2-х опытных шкафов УВТР (мод. 7531N-2126002): визит специалистов завода был согласован на 20.08.2026 — состоялся ли монтаж, в каком состоянии оборудование на сегодняшний день?</w:t>
      </w:r>
    </w:p>
    <w:p>
      <w:pPr>
        <w:pStyle w:val="ListBullet"/>
        <w:spacing w:after="80"/>
        <w:ind w:left="397"/>
      </w:pPr>
      <w:r>
        <w:rPr>
          <w:rFonts w:ascii="Arial" w:hAnsi="Arial" w:cs="Arial"/>
          <w:b w:val="0"/>
          <w:i w:val="0"/>
          <w:sz w:val="21"/>
        </w:rPr>
        <w:t>Когда будет представлена согласованная программа и методика проведения ОПИ (обещана «к дню монтажа»)? Какие контрольные точки и критерии успешности испытаний?</w:t>
      </w:r>
    </w:p>
    <w:p>
      <w:pPr>
        <w:pStyle w:val="ListBullet"/>
        <w:spacing w:after="80"/>
        <w:ind w:left="397"/>
      </w:pPr>
      <w:r>
        <w:rPr>
          <w:rFonts w:ascii="Arial" w:hAnsi="Arial" w:cs="Arial"/>
          <w:b w:val="0"/>
          <w:i w:val="0"/>
          <w:sz w:val="21"/>
        </w:rPr>
        <w:t>Партия тормозных резисторов от завода: по данным ГПФК, «отгружено 8 резисторов» — это вся заявленная партия или только часть? Когда ожидается остаток и в каком объёме?</w:t>
      </w:r>
    </w:p>
    <w:p>
      <w:pPr>
        <w:pStyle w:val="ListBullet"/>
        <w:spacing w:after="80"/>
        <w:ind w:left="397"/>
      </w:pPr>
      <w:r>
        <w:rPr>
          <w:rFonts w:ascii="Arial" w:hAnsi="Arial" w:cs="Arial"/>
          <w:b w:val="0"/>
          <w:i w:val="0"/>
          <w:sz w:val="21"/>
        </w:rPr>
        <w:t>20.08.2026 (за день до встречи) на машине № 1653 при плановом ТО вновь заменены 2 секции резистора УВТР — отказы серийных секций продолжаются параллельно с подготовкой ОПИ; как это фиксируется и учитывается в общей статистике?</w:t>
      </w:r>
    </w:p>
    <w:p>
      <w:pPr>
        <w:pStyle w:val="ListBullet"/>
        <w:spacing w:after="80"/>
        <w:ind w:left="397"/>
      </w:pPr>
      <w:r>
        <w:rPr>
          <w:rFonts w:ascii="Arial" w:hAnsi="Arial" w:cs="Arial"/>
          <w:b w:val="0"/>
          <w:i w:val="0"/>
          <w:sz w:val="21"/>
        </w:rPr>
        <w:t>Запросить акт анализа причин отказов тормозных резисторов и технический отчёт по мероприятиям (обещаны заводом/ГПФК к 28.07–11.08.2026, статус — открыт, сроки не подтверждены).</w:t>
      </w:r>
    </w:p>
    <w:p>
      <w:pPr>
        <w:spacing w:after="120" w:before="320"/>
      </w:pPr>
      <w:r>
        <w:rPr>
          <w:rFonts w:ascii="Arial" w:hAnsi="Arial" w:cs="Arial"/>
          <w:b/>
          <w:i w:val="0"/>
          <w:sz w:val="26"/>
        </w:rPr>
        <w:t>2. Тиражирование модернизации на весь парк (22 машины)</w:t>
      </w:r>
    </w:p>
    <w:p>
      <w:pPr>
        <w:pStyle w:val="ListBullet"/>
        <w:spacing w:after="80"/>
        <w:ind w:left="397"/>
      </w:pPr>
      <w:r>
        <w:rPr>
          <w:rFonts w:ascii="Arial" w:hAnsi="Arial" w:cs="Arial"/>
          <w:b w:val="0"/>
          <w:i w:val="0"/>
          <w:sz w:val="21"/>
        </w:rPr>
        <w:t>Уточнить ориентировочный график принятия решения о тиражировании модернизированных шкафов УВТР на оставшийся парк — сроки самого ОПИ по-прежнему не зафиксированы.</w:t>
      </w:r>
    </w:p>
    <w:p>
      <w:pPr>
        <w:pStyle w:val="ListBullet"/>
        <w:spacing w:after="80"/>
        <w:ind w:left="397"/>
      </w:pPr>
      <w:r>
        <w:rPr>
          <w:rFonts w:ascii="Arial" w:hAnsi="Arial" w:cs="Arial"/>
          <w:b w:val="0"/>
          <w:i w:val="0"/>
          <w:sz w:val="21"/>
        </w:rPr>
        <w:t>Обсудить возможность параллельного (не последовательного) проведения подготовительных работ на АО «Полюс Красноярск», чтобы не терять время после завершения ОПИ.</w:t>
      </w:r>
    </w:p>
    <w:p>
      <w:pPr>
        <w:pStyle w:val="ListBullet"/>
        <w:spacing w:after="80"/>
        <w:ind w:left="397"/>
      </w:pPr>
      <w:r>
        <w:rPr>
          <w:rFonts w:ascii="Arial" w:hAnsi="Arial" w:cs="Arial"/>
          <w:b w:val="0"/>
          <w:i w:val="0"/>
          <w:sz w:val="21"/>
        </w:rPr>
        <w:t>Согласовать промежуточные меры по снижению риска простоя техники на период до тиражирования — резерв секций, приоритетная логистика запчастей.</w:t>
      </w:r>
    </w:p>
    <w:p>
      <w:pPr>
        <w:spacing w:after="120" w:before="320"/>
      </w:pPr>
      <w:r>
        <w:rPr>
          <w:rFonts w:ascii="Arial" w:hAnsi="Arial" w:cs="Arial"/>
          <w:b/>
          <w:i w:val="0"/>
          <w:sz w:val="26"/>
        </w:rPr>
        <w:t>3. АО «Полюс Красноярск» — обеспечение резисторами и оценка парка</w:t>
      </w:r>
    </w:p>
    <w:p>
      <w:pPr>
        <w:pStyle w:val="ListBullet"/>
        <w:spacing w:after="80"/>
        <w:ind w:left="397"/>
      </w:pPr>
      <w:r>
        <w:rPr>
          <w:rFonts w:ascii="Arial" w:hAnsi="Arial" w:cs="Arial"/>
          <w:b w:val="0"/>
          <w:i w:val="0"/>
          <w:sz w:val="21"/>
        </w:rPr>
        <w:t>Уточнить точную дату отгрузки 22 модернизированных секций резисторов УВТР, обещанных «в ближайшее время».</w:t>
      </w:r>
    </w:p>
    <w:p>
      <w:pPr>
        <w:pStyle w:val="ListBullet"/>
        <w:spacing w:after="80"/>
        <w:ind w:left="397"/>
      </w:pPr>
      <w:r>
        <w:rPr>
          <w:rFonts w:ascii="Arial" w:hAnsi="Arial" w:cs="Arial"/>
          <w:b w:val="0"/>
          <w:i w:val="0"/>
          <w:sz w:val="21"/>
        </w:rPr>
        <w:t>Уточнить сроки выезда специалистов завода на АО «Полюс Красноярск» для оценки технического состояния парка — почему это запланировано только после завершения ОПИ, можно ли провести предварительную оценку раньше.</w:t>
      </w:r>
    </w:p>
    <w:p>
      <w:pPr>
        <w:pStyle w:val="ListBullet"/>
        <w:spacing w:after="80"/>
        <w:ind w:left="397"/>
      </w:pPr>
      <w:r>
        <w:rPr>
          <w:rFonts w:ascii="Arial" w:hAnsi="Arial" w:cs="Arial"/>
          <w:b w:val="0"/>
          <w:i w:val="0"/>
          <w:sz w:val="21"/>
        </w:rPr>
        <w:t>Статус ремонта оборудования с длительным простоем (гар. № 65 — ремонт ГМП, простой более 90 дней в ожидании запчастей) — ускорить поставку.</w:t>
      </w:r>
    </w:p>
    <w:p>
      <w:pPr>
        <w:spacing w:after="120" w:before="320"/>
      </w:pPr>
      <w:r>
        <w:rPr>
          <w:rFonts w:ascii="Arial" w:hAnsi="Arial" w:cs="Arial"/>
          <w:b/>
          <w:i w:val="0"/>
          <w:sz w:val="26"/>
        </w:rPr>
        <w:t>4. Трансмиссионное масло РМК (письмо БТЛ-Сервис № 983 БТЛ-СЧ/ИП от 04.08.2026)</w:t>
      </w:r>
    </w:p>
    <w:p>
      <w:pPr>
        <w:pStyle w:val="ListBullet"/>
        <w:spacing w:after="80"/>
        <w:ind w:left="397"/>
      </w:pPr>
      <w:r>
        <w:rPr>
          <w:rFonts w:ascii="Arial" w:hAnsi="Arial" w:cs="Arial"/>
          <w:b w:val="0"/>
          <w:i w:val="0"/>
          <w:sz w:val="21"/>
        </w:rPr>
        <w:t>Завод подтвердил, что РМК технически исправны, а рост вязкости масла вызван попаданием консистентной смазки из ступичных манжет при избыточном пополнении в ходе ТО — обсудить конкретную корректировку регламента ТО, исключающую переполнение.</w:t>
      </w:r>
    </w:p>
    <w:p>
      <w:pPr>
        <w:pStyle w:val="ListBullet"/>
        <w:spacing w:after="80"/>
        <w:ind w:left="397"/>
      </w:pPr>
      <w:r>
        <w:rPr>
          <w:rFonts w:ascii="Arial" w:hAnsi="Arial" w:cs="Arial"/>
          <w:b w:val="0"/>
          <w:i w:val="0"/>
          <w:sz w:val="21"/>
        </w:rPr>
        <w:t>Уточнить график поставки синтетического масла BELAZ G-Profi Trans Plus 680 — замена запланирована «на 3-х пассах после прихода масла на участок»; когда масло поступит?</w:t>
      </w:r>
    </w:p>
    <w:p>
      <w:pPr>
        <w:pStyle w:val="ListBullet"/>
        <w:spacing w:after="80"/>
        <w:ind w:left="397"/>
      </w:pPr>
      <w:r>
        <w:rPr>
          <w:rFonts w:ascii="Arial" w:hAnsi="Arial" w:cs="Arial"/>
          <w:b w:val="0"/>
          <w:i w:val="0"/>
          <w:sz w:val="21"/>
        </w:rPr>
        <w:t>Сверить эту программу с параллельным ОПИ БТЛ по маслу G-Profi 680 на новых самосвалах (3 из 5 ед.) — не дублируют ли два испытания друг друга, единые ли критерии оценки?</w:t>
      </w:r>
    </w:p>
    <w:p>
      <w:pPr>
        <w:pStyle w:val="ListBullet"/>
        <w:spacing w:after="80"/>
        <w:ind w:left="397"/>
      </w:pPr>
      <w:r>
        <w:rPr>
          <w:rFonts w:ascii="Arial" w:hAnsi="Arial" w:cs="Arial"/>
          <w:b w:val="0"/>
          <w:i w:val="0"/>
          <w:sz w:val="21"/>
        </w:rPr>
        <w:t>Согласовать периодичность и порядок регулярного анализа масла и единый канал обмена результатами между ГПФК/БТЛ и заводом.</w:t>
      </w:r>
    </w:p>
    <w:p>
      <w:pPr>
        <w:spacing w:after="120" w:before="320"/>
      </w:pPr>
      <w:r>
        <w:rPr>
          <w:rFonts w:ascii="Arial" w:hAnsi="Arial" w:cs="Arial"/>
          <w:b/>
          <w:i w:val="0"/>
          <w:sz w:val="26"/>
        </w:rPr>
        <w:t>5. КТГ (коэффициент технической готовности) — отдельный блок повестки</w:t>
      </w:r>
    </w:p>
    <w:p>
      <w:pPr>
        <w:pStyle w:val="ListBullet"/>
        <w:spacing w:after="80"/>
        <w:ind w:left="397"/>
      </w:pPr>
      <w:r>
        <w:rPr>
          <w:rFonts w:ascii="Arial" w:hAnsi="Arial" w:cs="Arial"/>
          <w:b w:val="0"/>
          <w:i w:val="0"/>
          <w:sz w:val="21"/>
        </w:rPr>
        <w:t>Запросить у ГПФК и БТЛ фактические показатели КТГ по паркам обоих предприятий в динамике (помесячно) — оба протокола мероприятий озаглавлены «повышение КТГ по горнотранспортному комплексу», но сами цифры в документах не приведены.</w:t>
      </w:r>
    </w:p>
    <w:p>
      <w:pPr>
        <w:pStyle w:val="ListBullet"/>
        <w:spacing w:after="80"/>
        <w:ind w:left="397"/>
      </w:pPr>
      <w:r>
        <w:rPr>
          <w:rFonts w:ascii="Arial" w:hAnsi="Arial" w:cs="Arial"/>
          <w:b w:val="0"/>
          <w:i w:val="0"/>
          <w:sz w:val="21"/>
        </w:rPr>
        <w:t>Согласовать целевой показатель КТГ и сроки его достижения для каждого предприятия.</w:t>
      </w:r>
    </w:p>
    <w:p>
      <w:pPr>
        <w:pStyle w:val="ListBullet"/>
        <w:spacing w:after="80"/>
        <w:ind w:left="397"/>
      </w:pPr>
      <w:r>
        <w:rPr>
          <w:rFonts w:ascii="Arial" w:hAnsi="Arial" w:cs="Arial"/>
          <w:b w:val="0"/>
          <w:i w:val="0"/>
          <w:sz w:val="21"/>
        </w:rPr>
        <w:t>Явно увязать каждое открытое мероприятие (УВТР, РМК, шины, кадры, склад, инфраструктура) с его влиянием на КТГ — для расстановки приоритетов.</w:t>
      </w:r>
    </w:p>
    <w:p>
      <w:pPr>
        <w:pStyle w:val="ListBullet"/>
        <w:spacing w:after="80"/>
        <w:ind w:left="397"/>
      </w:pPr>
      <w:r>
        <w:rPr>
          <w:rFonts w:ascii="Arial" w:hAnsi="Arial" w:cs="Arial"/>
          <w:b w:val="0"/>
          <w:i w:val="0"/>
          <w:sz w:val="21"/>
        </w:rPr>
        <w:t>Определить регулярный формат и периодичность совместной отчётности по КТГ (предлагаем — ежемесячно).</w:t>
      </w:r>
    </w:p>
    <w:p>
      <w:pPr>
        <w:spacing w:after="120" w:before="320"/>
      </w:pPr>
      <w:r>
        <w:rPr>
          <w:rFonts w:ascii="Arial" w:hAnsi="Arial" w:cs="Arial"/>
          <w:b/>
          <w:i w:val="0"/>
          <w:sz w:val="26"/>
        </w:rPr>
        <w:t>6. Инфраструктура и снабжение, влияющие на готовность парка</w:t>
      </w:r>
    </w:p>
    <w:p>
      <w:pPr>
        <w:pStyle w:val="ListBullet"/>
        <w:spacing w:after="80"/>
        <w:ind w:left="397"/>
      </w:pPr>
      <w:r>
        <w:rPr>
          <w:rFonts w:ascii="Arial" w:hAnsi="Arial" w:cs="Arial"/>
          <w:b w:val="0"/>
          <w:i w:val="0"/>
          <w:sz w:val="21"/>
        </w:rPr>
        <w:t>Сухой Лог: строительство ангаров и монтаж модульных зданий (АБК/бытовые помещения) — сроки неоднократно переносились (31.03 → 15.04 → 21.04 → 15.05 → август 2026); уточнить актуальный срок и причины переносов.</w:t>
      </w:r>
    </w:p>
    <w:p>
      <w:pPr>
        <w:pStyle w:val="ListBullet"/>
        <w:spacing w:after="80"/>
        <w:ind w:left="397"/>
      </w:pPr>
      <w:r>
        <w:rPr>
          <w:rFonts w:ascii="Arial" w:hAnsi="Arial" w:cs="Arial"/>
          <w:b w:val="0"/>
          <w:i w:val="0"/>
          <w:sz w:val="21"/>
        </w:rPr>
        <w:t>Красноярск: вопрос аренды земли под ангар для БТЛ — открыт, сроки сдвигаются (13.08 → 20.08 → 28.08.2026); от решения зависит допуск подрядчика «Альянс-Про» к работам по ОТиПБ.</w:t>
      </w:r>
    </w:p>
    <w:p>
      <w:pPr>
        <w:pStyle w:val="ListBullet"/>
        <w:spacing w:after="80"/>
        <w:ind w:left="397"/>
      </w:pPr>
      <w:r>
        <w:rPr>
          <w:rFonts w:ascii="Arial" w:hAnsi="Arial" w:cs="Arial"/>
          <w:b w:val="0"/>
          <w:i w:val="0"/>
          <w:sz w:val="21"/>
        </w:rPr>
        <w:t>Доступ сотрудников ГПФК к системе SAP — вопрос открыт с 26.05.2026, уточнить статус подписания документов и фактическую дату подключения.</w:t>
      </w:r>
    </w:p>
    <w:p>
      <w:pPr>
        <w:spacing w:after="120" w:before="320"/>
      </w:pPr>
      <w:r>
        <w:rPr>
          <w:rFonts w:ascii="Arial" w:hAnsi="Arial" w:cs="Arial"/>
          <w:b/>
          <w:i w:val="0"/>
          <w:sz w:val="26"/>
        </w:rPr>
        <w:t>7. Кадры и обучение персонала</w:t>
      </w:r>
    </w:p>
    <w:p>
      <w:pPr>
        <w:pStyle w:val="ListBullet"/>
        <w:spacing w:after="80"/>
        <w:ind w:left="397"/>
      </w:pPr>
      <w:r>
        <w:rPr>
          <w:rFonts w:ascii="Arial" w:hAnsi="Arial" w:cs="Arial"/>
          <w:b w:val="0"/>
          <w:i w:val="0"/>
          <w:sz w:val="21"/>
        </w:rPr>
        <w:t>Сухой Лог: подтвердить фактическое увеличение сервисной бригады до 7 человек (заявлено «выполняется» с 01.05.2026).</w:t>
      </w:r>
    </w:p>
    <w:p>
      <w:pPr>
        <w:pStyle w:val="ListBullet"/>
        <w:spacing w:after="80"/>
        <w:ind w:left="397"/>
      </w:pPr>
      <w:r>
        <w:rPr>
          <w:rFonts w:ascii="Arial" w:hAnsi="Arial" w:cs="Arial"/>
          <w:b w:val="0"/>
          <w:i w:val="0"/>
          <w:sz w:val="21"/>
        </w:rPr>
        <w:t>Организация обучения водителей с водителем-инструктором (ГПФК, срок — сентябрь 2026) — согласовать программу и даты.</w:t>
      </w:r>
    </w:p>
    <w:p>
      <w:pPr>
        <w:pStyle w:val="ListBullet"/>
        <w:spacing w:after="80"/>
        <w:ind w:left="397"/>
      </w:pPr>
      <w:r>
        <w:rPr>
          <w:rFonts w:ascii="Arial" w:hAnsi="Arial" w:cs="Arial"/>
          <w:b w:val="0"/>
          <w:i w:val="0"/>
          <w:sz w:val="21"/>
        </w:rPr>
        <w:t>Красноярск: подтвердить график мобилизации 2-й бригады (8 человек) для сборки новых самосвалов — оформление пропусков и выход на площадку.</w:t>
      </w:r>
    </w:p>
    <w:p>
      <w:pPr>
        <w:spacing w:after="120" w:before="320"/>
      </w:pPr>
      <w:r>
        <w:rPr>
          <w:rFonts w:ascii="Arial" w:hAnsi="Arial" w:cs="Arial"/>
          <w:b/>
          <w:i w:val="0"/>
          <w:sz w:val="26"/>
        </w:rPr>
        <w:t>8. Прочие открытые технические вопросы</w:t>
      </w:r>
    </w:p>
    <w:p>
      <w:pPr>
        <w:pStyle w:val="ListBullet"/>
        <w:spacing w:after="80"/>
        <w:ind w:left="397"/>
      </w:pPr>
      <w:r>
        <w:rPr>
          <w:rFonts w:ascii="Arial" w:hAnsi="Arial" w:cs="Arial"/>
          <w:b w:val="0"/>
          <w:i w:val="0"/>
          <w:sz w:val="21"/>
        </w:rPr>
        <w:t>Низкая ходимость КГШ (шин), отслоение протектора — запросить у БелШина рекомендации и дату визита представителя (вопрос открыт с 16.06.2026).</w:t>
      </w:r>
    </w:p>
    <w:p>
      <w:pPr>
        <w:pStyle w:val="ListBullet"/>
        <w:spacing w:after="80"/>
        <w:ind w:left="397"/>
      </w:pPr>
      <w:r>
        <w:rPr>
          <w:rFonts w:ascii="Arial" w:hAnsi="Arial" w:cs="Arial"/>
          <w:b w:val="0"/>
          <w:i w:val="0"/>
          <w:sz w:val="21"/>
        </w:rPr>
        <w:t>Повышенное содержание Al, Pb, Fe в анализах масла РМК — сверить с выводами письма БТЛ-Сервис № 983 (см. п.4): закрыт ли вопрос или требует отдельного контроля.</w:t>
      </w:r>
    </w:p>
    <w:p>
      <w:pPr>
        <w:pStyle w:val="ListBullet"/>
        <w:spacing w:after="80"/>
        <w:ind w:left="397"/>
      </w:pPr>
      <w:r>
        <w:rPr>
          <w:rFonts w:ascii="Arial" w:hAnsi="Arial" w:cs="Arial"/>
          <w:b w:val="0"/>
          <w:i w:val="0"/>
          <w:sz w:val="21"/>
        </w:rPr>
        <w:t>Ослабление болтов крепления РМК и обрыв РВД — мероприятия (протяжка по всему парку) выполнены в мае 2026; запросить данные по повторяемости проблемы за прошедший период.</w:t>
      </w:r>
    </w:p>
    <w:p>
      <w:pPr>
        <w:spacing w:after="120" w:before="320"/>
      </w:pPr>
      <w:r>
        <w:rPr>
          <w:rFonts w:ascii="Arial" w:hAnsi="Arial" w:cs="Arial"/>
          <w:b/>
          <w:i w:val="0"/>
          <w:sz w:val="26"/>
        </w:rPr>
        <w:t>9. Дополнительные вопросы (предлагаем включить в повестку)</w:t>
      </w:r>
    </w:p>
    <w:p>
      <w:pPr>
        <w:pStyle w:val="ListBullet"/>
        <w:spacing w:after="80"/>
        <w:ind w:left="397"/>
      </w:pPr>
      <w:r>
        <w:rPr>
          <w:rFonts w:ascii="Arial" w:hAnsi="Arial" w:cs="Arial"/>
          <w:b w:val="0"/>
          <w:i w:val="0"/>
          <w:sz w:val="21"/>
        </w:rPr>
        <w:t>Рассматривает ли завод компенсацию ущерба от простоев техники вследствие массового выхода из строя серийных секций УВТР?</w:t>
      </w:r>
    </w:p>
    <w:p>
      <w:pPr>
        <w:pStyle w:val="ListBullet"/>
        <w:spacing w:after="80"/>
        <w:ind w:left="397"/>
      </w:pPr>
      <w:r>
        <w:rPr>
          <w:rFonts w:ascii="Arial" w:hAnsi="Arial" w:cs="Arial"/>
          <w:b w:val="0"/>
          <w:i w:val="0"/>
          <w:sz w:val="21"/>
        </w:rPr>
        <w:t>Предлагаем установить регулярные статус-встречи (еженедельно, видеоконференция) на период проведения ОПИ и последующего тиражирования модернизации.</w:t>
      </w:r>
    </w:p>
    <w:p>
      <w:pPr>
        <w:pStyle w:val="ListBullet"/>
        <w:spacing w:after="80"/>
        <w:ind w:left="397"/>
      </w:pPr>
      <w:r>
        <w:rPr>
          <w:rFonts w:ascii="Arial" w:hAnsi="Arial" w:cs="Arial"/>
          <w:b w:val="0"/>
          <w:i w:val="0"/>
          <w:sz w:val="21"/>
        </w:rPr>
        <w:t>Обучение и сертификация сервисного персонала ГПФК и БТЛ представителями завода по работе с модернизированными шкафами УВТР.</w:t>
      </w:r>
    </w:p>
    <w:p>
      <w:pPr>
        <w:pStyle w:val="ListBullet"/>
        <w:spacing w:after="80"/>
        <w:ind w:left="397"/>
      </w:pPr>
      <w:r>
        <w:rPr>
          <w:rFonts w:ascii="Arial" w:hAnsi="Arial" w:cs="Arial"/>
          <w:b w:val="0"/>
          <w:i w:val="0"/>
          <w:sz w:val="21"/>
        </w:rPr>
        <w:t>Гарантийный срок и условия обслуживания модернизированных шкафов/секций УВТР после тиражирования на весь парк.</w:t>
      </w:r>
    </w:p>
    <w:p>
      <w:pPr>
        <w:pStyle w:val="ListBullet"/>
        <w:spacing w:after="80"/>
        <w:ind w:left="397"/>
      </w:pPr>
      <w:r>
        <w:rPr>
          <w:rFonts w:ascii="Arial" w:hAnsi="Arial" w:cs="Arial"/>
          <w:b w:val="0"/>
          <w:i w:val="0"/>
          <w:sz w:val="21"/>
        </w:rPr>
        <w:t>Логистика поставок в Бодайбо: обсудить причины растянутой частичной отгрузки резисторов (8 шт. вместо заявленного объёма) и меры по ускорению будущих поставок.</w:t>
      </w:r>
    </w:p>
    <w:p>
      <w:pPr>
        <w:pStyle w:val="ListBullet"/>
        <w:spacing w:after="80"/>
        <w:ind w:left="397"/>
      </w:pPr>
      <w:r>
        <w:rPr>
          <w:rFonts w:ascii="Arial" w:hAnsi="Arial" w:cs="Arial"/>
          <w:b w:val="0"/>
          <w:i w:val="0"/>
          <w:sz w:val="21"/>
        </w:rPr>
        <w:t>Договориться о ведении протокола встречи с фиксацией ответственных и сроков по каждому пункту — для контроля исполнения на следующей встрече.</w:t>
      </w:r>
    </w:p>
    <w:sectPr w:rsidR="00FC693F" w:rsidRPr="0006063C" w:rsidSect="00034616">
      <w:pgSz w:w="12240" w:h="15840"/>
      <w:pgMar w:top="850" w:right="850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