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14A2" w:rsidRPr="00110A21" w:rsidRDefault="00110A21" w:rsidP="002E14A2">
      <w:pPr>
        <w:pStyle w:val="1"/>
        <w:rPr>
          <w:rFonts w:ascii="Times New Roman" w:eastAsiaTheme="minorHAnsi" w:hAnsi="Times New Roman" w:cs="Times New Roman"/>
          <w:lang w:val="ru-RU" w:eastAsia="en-US"/>
        </w:rPr>
      </w:pPr>
      <w:r>
        <w:rPr>
          <w:rFonts w:ascii="Times New Roman" w:eastAsiaTheme="minorHAnsi" w:hAnsi="Times New Roman" w:cs="Times New Roman"/>
          <w:lang w:val="ru-RU" w:eastAsia="en-US"/>
        </w:rPr>
        <w:t>Выгрузка КТГ по классу и КТГ по п</w:t>
      </w:r>
      <w:bookmarkStart w:id="0" w:name="_GoBack"/>
      <w:bookmarkEnd w:id="0"/>
      <w:r>
        <w:rPr>
          <w:rFonts w:ascii="Times New Roman" w:eastAsiaTheme="minorHAnsi" w:hAnsi="Times New Roman" w:cs="Times New Roman"/>
          <w:lang w:val="ru-RU" w:eastAsia="en-US"/>
        </w:rPr>
        <w:t>арку</w:t>
      </w:r>
    </w:p>
    <w:p w:rsidR="00C02C34" w:rsidRDefault="00110A21" w:rsidP="00110A21">
      <w:pPr>
        <w:ind w:firstLine="431"/>
      </w:pPr>
      <w:r>
        <w:t xml:space="preserve">Для выгрузки КТГ по классу и КТГ по парку на селекционном экране </w:t>
      </w:r>
      <w:r>
        <w:rPr>
          <w:lang w:val="en-US"/>
        </w:rPr>
        <w:t>ZPM</w:t>
      </w:r>
      <w:r w:rsidRPr="00110A21">
        <w:t>_</w:t>
      </w:r>
      <w:r>
        <w:rPr>
          <w:lang w:val="en-US"/>
        </w:rPr>
        <w:t>PLAN</w:t>
      </w:r>
      <w:r w:rsidRPr="00110A21">
        <w:t xml:space="preserve"> </w:t>
      </w:r>
      <w:r>
        <w:t xml:space="preserve">реализован новый </w:t>
      </w:r>
      <w:proofErr w:type="spellStart"/>
      <w:r>
        <w:t>подэкран</w:t>
      </w:r>
      <w:proofErr w:type="spellEnd"/>
      <w:r>
        <w:t xml:space="preserve"> «Дополнительный расчёт КТГ» (рис. 1).</w:t>
      </w:r>
    </w:p>
    <w:p w:rsidR="00110A21" w:rsidRDefault="00110A21" w:rsidP="00110A21">
      <w:pPr>
        <w:ind w:firstLine="431"/>
      </w:pPr>
      <w:r>
        <w:rPr>
          <w:noProof/>
          <w:lang w:eastAsia="ru-RU"/>
        </w:rPr>
        <w:drawing>
          <wp:inline distT="0" distB="0" distL="0" distR="0" wp14:anchorId="1BFB6618" wp14:editId="202B48E7">
            <wp:extent cx="5940425" cy="21799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A21" w:rsidRPr="00030737" w:rsidRDefault="00110A21" w:rsidP="00110A21">
      <w:pPr>
        <w:jc w:val="center"/>
        <w:rPr>
          <w:szCs w:val="24"/>
        </w:rPr>
      </w:pPr>
      <w:r w:rsidRPr="00030737">
        <w:rPr>
          <w:szCs w:val="24"/>
        </w:rPr>
        <w:t xml:space="preserve">Рис. 1. </w:t>
      </w:r>
      <w:proofErr w:type="spellStart"/>
      <w:r w:rsidRPr="00030737">
        <w:rPr>
          <w:szCs w:val="24"/>
        </w:rPr>
        <w:t>Подэкран</w:t>
      </w:r>
      <w:proofErr w:type="spellEnd"/>
      <w:r w:rsidRPr="00030737">
        <w:rPr>
          <w:szCs w:val="24"/>
        </w:rPr>
        <w:t xml:space="preserve"> «Дополнительный расчёт КТГ»</w:t>
      </w:r>
    </w:p>
    <w:p w:rsidR="00110A21" w:rsidRDefault="00110A21" w:rsidP="00110A21">
      <w:r>
        <w:tab/>
        <w:t xml:space="preserve">На </w:t>
      </w:r>
      <w:proofErr w:type="spellStart"/>
      <w:r>
        <w:t>подэкране</w:t>
      </w:r>
      <w:proofErr w:type="spellEnd"/>
      <w:r>
        <w:t xml:space="preserve"> доступны следующие функции:</w:t>
      </w:r>
    </w:p>
    <w:p w:rsidR="00110A21" w:rsidRDefault="00110A21" w:rsidP="00110A21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110A21">
        <w:rPr>
          <w:rFonts w:ascii="Arial" w:hAnsi="Arial" w:cs="Arial"/>
        </w:rPr>
        <w:t xml:space="preserve">«КТГ по классу» - режим формирования строк с тип 1С – КТГ по классу. В этом режиме единицы оборудования </w:t>
      </w:r>
      <w:r>
        <w:rPr>
          <w:rFonts w:ascii="Arial" w:hAnsi="Arial" w:cs="Arial"/>
        </w:rPr>
        <w:t>с одинаковым классом объединяются в строки с типом 1С. Расчёт простоев и КТГ для таких строк производится для группы оборудования, попавшей в эту строку;</w:t>
      </w:r>
    </w:p>
    <w:p w:rsidR="00110A21" w:rsidRDefault="00110A21" w:rsidP="00110A21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110A21">
        <w:rPr>
          <w:rFonts w:ascii="Arial" w:hAnsi="Arial" w:cs="Arial"/>
        </w:rPr>
        <w:t xml:space="preserve">«КТГ по </w:t>
      </w:r>
      <w:r>
        <w:rPr>
          <w:rFonts w:ascii="Arial" w:hAnsi="Arial" w:cs="Arial"/>
        </w:rPr>
        <w:t>парку</w:t>
      </w:r>
      <w:r w:rsidRPr="00110A21">
        <w:rPr>
          <w:rFonts w:ascii="Arial" w:hAnsi="Arial" w:cs="Arial"/>
        </w:rPr>
        <w:t>» - режим формирования строк с тип 1</w:t>
      </w:r>
      <w:r>
        <w:rPr>
          <w:rFonts w:ascii="Arial" w:hAnsi="Arial" w:cs="Arial"/>
          <w:lang w:val="en-US"/>
        </w:rPr>
        <w:t>P</w:t>
      </w:r>
      <w:r w:rsidRPr="00110A21">
        <w:rPr>
          <w:rFonts w:ascii="Arial" w:hAnsi="Arial" w:cs="Arial"/>
        </w:rPr>
        <w:t xml:space="preserve"> – КТГ </w:t>
      </w:r>
      <w:r>
        <w:rPr>
          <w:rFonts w:ascii="Arial" w:hAnsi="Arial" w:cs="Arial"/>
        </w:rPr>
        <w:t>по парку</w:t>
      </w:r>
      <w:r w:rsidRPr="00110A21">
        <w:rPr>
          <w:rFonts w:ascii="Arial" w:hAnsi="Arial" w:cs="Arial"/>
        </w:rPr>
        <w:t xml:space="preserve">. В этом режиме единицы оборудования </w:t>
      </w:r>
      <w:r>
        <w:rPr>
          <w:rFonts w:ascii="Arial" w:hAnsi="Arial" w:cs="Arial"/>
        </w:rPr>
        <w:t xml:space="preserve">с одинаковым </w:t>
      </w:r>
      <w:r>
        <w:rPr>
          <w:rFonts w:ascii="Arial" w:hAnsi="Arial" w:cs="Arial"/>
        </w:rPr>
        <w:t>типом конструкции</w:t>
      </w:r>
      <w:r>
        <w:rPr>
          <w:rFonts w:ascii="Arial" w:hAnsi="Arial" w:cs="Arial"/>
        </w:rPr>
        <w:t xml:space="preserve"> объединяются в строки с типом 1</w:t>
      </w:r>
      <w:r>
        <w:rPr>
          <w:rFonts w:ascii="Arial" w:hAnsi="Arial" w:cs="Arial"/>
          <w:lang w:val="en-US"/>
        </w:rPr>
        <w:t>P</w:t>
      </w:r>
      <w:r>
        <w:rPr>
          <w:rFonts w:ascii="Arial" w:hAnsi="Arial" w:cs="Arial"/>
        </w:rPr>
        <w:t>. Расчёт простоев и КТГ для таких строк производится для группы оборудования, попавшей в эту строку;</w:t>
      </w:r>
    </w:p>
    <w:p w:rsidR="00110A21" w:rsidRDefault="00110A21" w:rsidP="00110A21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«Выводить виды работ для обобщённого КТГ» - функция включения/отключения отображения </w:t>
      </w:r>
      <w:r w:rsidR="00D22857">
        <w:rPr>
          <w:rFonts w:ascii="Arial" w:hAnsi="Arial" w:cs="Arial"/>
        </w:rPr>
        <w:t xml:space="preserve">в </w:t>
      </w:r>
      <w:proofErr w:type="spellStart"/>
      <w:r w:rsidR="00D22857">
        <w:rPr>
          <w:rFonts w:ascii="Arial" w:hAnsi="Arial" w:cs="Arial"/>
        </w:rPr>
        <w:t>шахматке</w:t>
      </w:r>
      <w:proofErr w:type="spellEnd"/>
      <w:r w:rsidR="00D2285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видов работ заказов для обобщённых строк «КТГ по классу» и «КТГ по парку»</w:t>
      </w:r>
      <w:r w:rsidR="00D22857">
        <w:rPr>
          <w:rFonts w:ascii="Arial" w:hAnsi="Arial" w:cs="Arial"/>
        </w:rPr>
        <w:t>.</w:t>
      </w:r>
    </w:p>
    <w:p w:rsidR="00D22857" w:rsidRDefault="00D22857" w:rsidP="00D22857">
      <w:pPr>
        <w:ind w:firstLine="360"/>
        <w:jc w:val="both"/>
        <w:rPr>
          <w:rFonts w:cs="Arial"/>
        </w:rPr>
      </w:pPr>
      <w:r>
        <w:rPr>
          <w:rFonts w:cs="Arial"/>
        </w:rPr>
        <w:t xml:space="preserve">Данный </w:t>
      </w:r>
      <w:proofErr w:type="spellStart"/>
      <w:r>
        <w:rPr>
          <w:rFonts w:cs="Arial"/>
        </w:rPr>
        <w:t>подэкран</w:t>
      </w:r>
      <w:proofErr w:type="spellEnd"/>
      <w:r>
        <w:rPr>
          <w:rFonts w:cs="Arial"/>
        </w:rPr>
        <w:t xml:space="preserve"> доступен только в следующих режим:</w:t>
      </w:r>
    </w:p>
    <w:p w:rsidR="00D22857" w:rsidRPr="00D22857" w:rsidRDefault="00D22857" w:rsidP="00D22857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D22857">
        <w:rPr>
          <w:rFonts w:ascii="Arial" w:hAnsi="Arial" w:cs="Arial"/>
        </w:rPr>
        <w:t>Формирование годового графика ремонтов;</w:t>
      </w:r>
    </w:p>
    <w:p w:rsidR="00D22857" w:rsidRPr="00D22857" w:rsidRDefault="00D22857" w:rsidP="00D22857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D22857">
        <w:rPr>
          <w:rFonts w:ascii="Arial" w:hAnsi="Arial" w:cs="Arial"/>
        </w:rPr>
        <w:t>Формирование месячного графика ремонтов;</w:t>
      </w:r>
    </w:p>
    <w:p w:rsidR="00D22857" w:rsidRDefault="00D22857" w:rsidP="00D22857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D22857">
        <w:rPr>
          <w:rFonts w:ascii="Arial" w:hAnsi="Arial" w:cs="Arial"/>
        </w:rPr>
        <w:t>Формирование недельного графика ремонтов.</w:t>
      </w:r>
    </w:p>
    <w:p w:rsidR="001C3C68" w:rsidRDefault="001C3C68" w:rsidP="001C3C68">
      <w:pPr>
        <w:jc w:val="both"/>
        <w:rPr>
          <w:rFonts w:cs="Arial"/>
        </w:rPr>
      </w:pPr>
      <w:r>
        <w:rPr>
          <w:rFonts w:cs="Arial"/>
        </w:rPr>
        <w:t>При выгрузке отчёта с включённым режимом «КТГ по классу» или «КТГ по парку» таблица заполняется обобщёнными строками, которые «</w:t>
      </w:r>
      <w:proofErr w:type="spellStart"/>
      <w:r>
        <w:rPr>
          <w:rFonts w:cs="Arial"/>
        </w:rPr>
        <w:t>схлопывают</w:t>
      </w:r>
      <w:proofErr w:type="spellEnd"/>
      <w:r>
        <w:rPr>
          <w:rFonts w:cs="Arial"/>
        </w:rPr>
        <w:t>» внутри себя единицы оборудования с одинаковым классом или типом конструкции (рис. 2).</w:t>
      </w:r>
    </w:p>
    <w:p w:rsidR="001C3C68" w:rsidRDefault="001C3C68" w:rsidP="001C3C68">
      <w:pPr>
        <w:jc w:val="both"/>
        <w:rPr>
          <w:rFonts w:cs="Arial"/>
        </w:rPr>
      </w:pPr>
      <w:r>
        <w:rPr>
          <w:noProof/>
          <w:lang w:eastAsia="ru-RU"/>
        </w:rPr>
        <w:lastRenderedPageBreak/>
        <w:drawing>
          <wp:inline distT="0" distB="0" distL="0" distR="0" wp14:anchorId="1AF83413" wp14:editId="3CD39E11">
            <wp:extent cx="5940425" cy="28257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C68" w:rsidRPr="00030737" w:rsidRDefault="001C3C68" w:rsidP="001C3C68">
      <w:pPr>
        <w:jc w:val="center"/>
        <w:rPr>
          <w:rFonts w:cs="Arial"/>
          <w:szCs w:val="24"/>
        </w:rPr>
      </w:pPr>
      <w:r w:rsidRPr="00030737">
        <w:rPr>
          <w:rFonts w:cs="Arial"/>
          <w:szCs w:val="24"/>
        </w:rPr>
        <w:t>Рис. 2. Выгруженный отчёт с «КТГ по классу» и «КТГ по парку»</w:t>
      </w:r>
    </w:p>
    <w:p w:rsidR="001C3C68" w:rsidRDefault="00D05C16" w:rsidP="001C3C68">
      <w:r>
        <w:rPr>
          <w:lang w:val="en-US"/>
        </w:rPr>
        <w:tab/>
      </w:r>
      <w:r>
        <w:t>Для более удобной работы со списком необходимо добавить в первые столбы таблицы следующие поля:</w:t>
      </w:r>
    </w:p>
    <w:p w:rsidR="00D05C16" w:rsidRPr="00D05C16" w:rsidRDefault="00D05C16" w:rsidP="00D05C16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D05C16">
        <w:rPr>
          <w:rFonts w:ascii="Arial" w:hAnsi="Arial" w:cs="Arial"/>
        </w:rPr>
        <w:t>Номер ЕО;</w:t>
      </w:r>
    </w:p>
    <w:p w:rsidR="00D05C16" w:rsidRPr="00D05C16" w:rsidRDefault="00D05C16" w:rsidP="00D05C16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D05C16">
        <w:rPr>
          <w:rFonts w:ascii="Arial" w:hAnsi="Arial" w:cs="Arial"/>
        </w:rPr>
        <w:t>Номер класса;</w:t>
      </w:r>
    </w:p>
    <w:p w:rsidR="00D05C16" w:rsidRPr="00D05C16" w:rsidRDefault="00D05C16" w:rsidP="00D05C16">
      <w:pPr>
        <w:pStyle w:val="a7"/>
        <w:numPr>
          <w:ilvl w:val="0"/>
          <w:numId w:val="2"/>
        </w:numPr>
        <w:jc w:val="both"/>
        <w:rPr>
          <w:rFonts w:ascii="Arial" w:hAnsi="Arial" w:cs="Arial"/>
        </w:rPr>
      </w:pPr>
      <w:r w:rsidRPr="00D05C16">
        <w:rPr>
          <w:rFonts w:ascii="Arial" w:hAnsi="Arial" w:cs="Arial"/>
        </w:rPr>
        <w:t>Модель оборудования.</w:t>
      </w:r>
    </w:p>
    <w:p w:rsidR="00D05C16" w:rsidRDefault="00D05C16" w:rsidP="00D05C16">
      <w:pPr>
        <w:jc w:val="both"/>
      </w:pPr>
      <w:r>
        <w:t xml:space="preserve">Далее по порядку выделить столбцы с зажатой клавишей </w:t>
      </w:r>
      <w:r>
        <w:rPr>
          <w:lang w:val="en-US"/>
        </w:rPr>
        <w:t>Ctrl</w:t>
      </w:r>
      <w:r>
        <w:t xml:space="preserve">: </w:t>
      </w:r>
      <w:r>
        <w:t xml:space="preserve">Номер класса – </w:t>
      </w:r>
      <w:r>
        <w:t>Модель оборудования – Номер ЕО. Тогда записи выстраиваются в удобном виде: сначала общая строка «КТГ по классу», затем общая строка «КТГ по парку», затем список ЕО, входящих в этот парк, затем следующий парк, входящий в этот класс (рис. 3).</w:t>
      </w:r>
    </w:p>
    <w:p w:rsidR="00D05C16" w:rsidRDefault="00D05C16" w:rsidP="00D05C16">
      <w:pPr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00BBDE35" wp14:editId="4581918A">
            <wp:extent cx="5940425" cy="44519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C16" w:rsidRPr="00030737" w:rsidRDefault="00D05C16" w:rsidP="00D05C16">
      <w:pPr>
        <w:jc w:val="center"/>
        <w:rPr>
          <w:rFonts w:cs="Arial"/>
          <w:szCs w:val="24"/>
        </w:rPr>
      </w:pPr>
      <w:r w:rsidRPr="00030737">
        <w:rPr>
          <w:rFonts w:cs="Arial"/>
          <w:szCs w:val="24"/>
        </w:rPr>
        <w:t xml:space="preserve">Рис. 3. Отформатированный АЛВ планировщика со строками </w:t>
      </w:r>
      <w:r w:rsidRPr="00030737">
        <w:rPr>
          <w:rFonts w:cs="Arial"/>
          <w:szCs w:val="24"/>
        </w:rPr>
        <w:t>«КТГ по классу» и «КТГ по парку»</w:t>
      </w:r>
    </w:p>
    <w:p w:rsidR="00D05C16" w:rsidRDefault="00D05C16" w:rsidP="00D05C16">
      <w:pPr>
        <w:ind w:firstLine="708"/>
        <w:jc w:val="both"/>
      </w:pPr>
      <w:r>
        <w:t xml:space="preserve">В столбцах, где указаны значения простоя и КТГ, в общих строках </w:t>
      </w:r>
      <w:r w:rsidRPr="00D05C16">
        <w:t>«КТГ по классу» и «КТГ по парку»</w:t>
      </w:r>
      <w:r>
        <w:t xml:space="preserve"> представлены значения сумм простоев ЕО, входящих в группу, а КТГ рассчитывается по формуле: (</w:t>
      </w:r>
      <w:r w:rsidRPr="00D05C16">
        <w:t>‘</w:t>
      </w:r>
      <w:proofErr w:type="spellStart"/>
      <w:r>
        <w:t>Cумма</w:t>
      </w:r>
      <w:proofErr w:type="spellEnd"/>
      <w:r>
        <w:t xml:space="preserve"> </w:t>
      </w:r>
      <w:proofErr w:type="spellStart"/>
      <w:r>
        <w:t>КФВя</w:t>
      </w:r>
      <w:proofErr w:type="spellEnd"/>
      <w:r>
        <w:t xml:space="preserve"> группы ЕО</w:t>
      </w:r>
      <w:r w:rsidRPr="00D05C16">
        <w:t>’ – ‘</w:t>
      </w:r>
      <w:r>
        <w:t>Сумма простоев группы ЕО</w:t>
      </w:r>
      <w:r w:rsidRPr="00D05C16">
        <w:t>’</w:t>
      </w:r>
      <w:r>
        <w:t>) /</w:t>
      </w:r>
      <w:r w:rsidRPr="00D05C16">
        <w:t xml:space="preserve"> </w:t>
      </w:r>
      <w:r>
        <w:t>(</w:t>
      </w:r>
      <w:r w:rsidRPr="00D05C16">
        <w:t>‘</w:t>
      </w:r>
      <w:proofErr w:type="spellStart"/>
      <w:r>
        <w:t>Cумма</w:t>
      </w:r>
      <w:proofErr w:type="spellEnd"/>
      <w:r>
        <w:t xml:space="preserve"> </w:t>
      </w:r>
      <w:proofErr w:type="spellStart"/>
      <w:r>
        <w:t>КФВя</w:t>
      </w:r>
      <w:proofErr w:type="spellEnd"/>
      <w:r>
        <w:t xml:space="preserve"> группы ЕО</w:t>
      </w:r>
      <w:r w:rsidRPr="00D05C16">
        <w:t>’</w:t>
      </w:r>
      <w:r>
        <w:t>.</w:t>
      </w:r>
    </w:p>
    <w:p w:rsidR="00D05C16" w:rsidRPr="00D05C16" w:rsidRDefault="00D05C16" w:rsidP="00D05C16">
      <w:pPr>
        <w:ind w:firstLine="708"/>
        <w:jc w:val="both"/>
        <w:rPr>
          <w:rFonts w:cs="Arial"/>
          <w:sz w:val="20"/>
          <w:szCs w:val="20"/>
        </w:rPr>
      </w:pPr>
      <w:r>
        <w:t xml:space="preserve">В ячейках </w:t>
      </w:r>
      <w:proofErr w:type="spellStart"/>
      <w:r>
        <w:t>шахматки</w:t>
      </w:r>
      <w:proofErr w:type="spellEnd"/>
      <w:r>
        <w:t xml:space="preserve"> для строк </w:t>
      </w:r>
      <w:r w:rsidRPr="00D05C16">
        <w:t>«КТГ по классу» и «КТГ по парку»</w:t>
      </w:r>
      <w:r>
        <w:t xml:space="preserve"> приводится рассчитанное значение КТГ для группы ЕО этой строки за период (для года – декада, для месяца и недели – день).</w:t>
      </w:r>
    </w:p>
    <w:p w:rsidR="008C6DBB" w:rsidRDefault="008C6DBB" w:rsidP="008C6DBB">
      <w:pPr>
        <w:pStyle w:val="1"/>
        <w:rPr>
          <w:rFonts w:ascii="Times New Roman" w:eastAsiaTheme="minorHAnsi" w:hAnsi="Times New Roman" w:cs="Times New Roman"/>
          <w:lang w:val="ru-RU" w:eastAsia="en-US"/>
        </w:rPr>
      </w:pPr>
      <w:r>
        <w:rPr>
          <w:rFonts w:ascii="Times New Roman" w:eastAsiaTheme="minorHAnsi" w:hAnsi="Times New Roman" w:cs="Times New Roman"/>
          <w:lang w:val="ru-RU" w:eastAsia="en-US"/>
        </w:rPr>
        <w:lastRenderedPageBreak/>
        <w:t>Работа с функцией «Диапазон КТГ»</w:t>
      </w:r>
    </w:p>
    <w:p w:rsidR="008C6DBB" w:rsidRPr="008C6DBB" w:rsidRDefault="008C6DBB" w:rsidP="008C6DBB">
      <w:pPr>
        <w:ind w:firstLine="431"/>
        <w:jc w:val="both"/>
      </w:pPr>
      <w:r>
        <w:t xml:space="preserve">В интерфейсе планировщика с помощью кнопки на панели инструментов «Диапазон КТГ» задать пороговое значение КТГ для строк </w:t>
      </w:r>
      <w:r w:rsidRPr="00D05C16">
        <w:t>«КТГ по классу» и «КТГ по парку»</w:t>
      </w:r>
      <w:r>
        <w:t xml:space="preserve"> (рис. 4).</w:t>
      </w:r>
    </w:p>
    <w:p w:rsidR="00D05C16" w:rsidRDefault="008C6DBB" w:rsidP="00D05C16">
      <w:r>
        <w:rPr>
          <w:noProof/>
          <w:lang w:eastAsia="ru-RU"/>
        </w:rPr>
        <w:drawing>
          <wp:inline distT="0" distB="0" distL="0" distR="0" wp14:anchorId="5A53F2BA" wp14:editId="54203E67">
            <wp:extent cx="5940425" cy="2108200"/>
            <wp:effectExtent l="0" t="0" r="317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BB" w:rsidRDefault="008C6DBB" w:rsidP="008C6DBB">
      <w:pPr>
        <w:jc w:val="center"/>
      </w:pPr>
      <w:r>
        <w:t>Рис. 4. Функция «Диапазон КТГ»</w:t>
      </w:r>
    </w:p>
    <w:p w:rsidR="008C6DBB" w:rsidRDefault="008C6DBB" w:rsidP="008C6DBB">
      <w:pPr>
        <w:jc w:val="both"/>
      </w:pPr>
      <w:r>
        <w:tab/>
        <w:t xml:space="preserve">После этого открывается интерфейс, где для выделенных строк </w:t>
      </w:r>
      <w:r w:rsidRPr="00D05C16">
        <w:t>«КТГ по классу» и «КТГ по парку»</w:t>
      </w:r>
      <w:r>
        <w:t xml:space="preserve"> на месяц вводится пороговое значение КТГ в % (рис. 5).</w:t>
      </w:r>
    </w:p>
    <w:p w:rsidR="008C6DBB" w:rsidRDefault="008C6DBB" w:rsidP="008C6DBB">
      <w:pPr>
        <w:jc w:val="center"/>
      </w:pPr>
      <w:r>
        <w:rPr>
          <w:noProof/>
          <w:lang w:eastAsia="ru-RU"/>
        </w:rPr>
        <w:drawing>
          <wp:inline distT="0" distB="0" distL="0" distR="0" wp14:anchorId="3ED53787" wp14:editId="64BD02A5">
            <wp:extent cx="5940425" cy="9493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BB" w:rsidRDefault="008C6DBB" w:rsidP="008C6DBB">
      <w:pPr>
        <w:jc w:val="center"/>
      </w:pPr>
      <w:r>
        <w:t>Рис. 5. Ввод порогового значение КТГ</w:t>
      </w:r>
    </w:p>
    <w:p w:rsidR="008C6DBB" w:rsidRDefault="008C6DBB" w:rsidP="008C6DBB">
      <w:pPr>
        <w:jc w:val="both"/>
      </w:pPr>
      <w:r>
        <w:tab/>
        <w:t xml:space="preserve">После ввода порогового значения КТГ и обновления отчёта ячейки </w:t>
      </w:r>
      <w:proofErr w:type="spellStart"/>
      <w:r>
        <w:t>шахматки</w:t>
      </w:r>
      <w:proofErr w:type="spellEnd"/>
      <w:r>
        <w:t xml:space="preserve"> строк </w:t>
      </w:r>
      <w:r w:rsidRPr="00D05C16">
        <w:t>«КТГ по классу» и «КТГ по парку»</w:t>
      </w:r>
      <w:r>
        <w:t xml:space="preserve"> подсвечиваются красным там, где рассчитанное значение КТГ опускается ниже порога (рис. 6).</w:t>
      </w:r>
    </w:p>
    <w:p w:rsidR="008C6DBB" w:rsidRDefault="008C6DBB" w:rsidP="008C6DBB">
      <w:pPr>
        <w:jc w:val="center"/>
      </w:pPr>
      <w:r>
        <w:rPr>
          <w:noProof/>
          <w:lang w:eastAsia="ru-RU"/>
        </w:rPr>
        <w:drawing>
          <wp:inline distT="0" distB="0" distL="0" distR="0" wp14:anchorId="63A6BFC0" wp14:editId="025ABA8E">
            <wp:extent cx="2628900" cy="1352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BB" w:rsidRDefault="008C6DBB" w:rsidP="008C6DBB">
      <w:pPr>
        <w:jc w:val="center"/>
      </w:pPr>
      <w:r>
        <w:t xml:space="preserve">Рис. </w:t>
      </w:r>
      <w:r>
        <w:t>6</w:t>
      </w:r>
      <w:r>
        <w:t xml:space="preserve">. </w:t>
      </w:r>
      <w:r>
        <w:t xml:space="preserve">Подсвечивание ячейки </w:t>
      </w:r>
      <w:proofErr w:type="spellStart"/>
      <w:r>
        <w:t>шахматки</w:t>
      </w:r>
      <w:proofErr w:type="spellEnd"/>
    </w:p>
    <w:p w:rsidR="008C6DBB" w:rsidRDefault="008C6DBB" w:rsidP="008C6DBB">
      <w:pPr>
        <w:pStyle w:val="1"/>
        <w:rPr>
          <w:rFonts w:ascii="Times New Roman" w:eastAsiaTheme="minorHAnsi" w:hAnsi="Times New Roman" w:cs="Times New Roman"/>
          <w:lang w:val="ru-RU" w:eastAsia="en-US"/>
        </w:rPr>
      </w:pPr>
      <w:r>
        <w:rPr>
          <w:rFonts w:ascii="Times New Roman" w:eastAsiaTheme="minorHAnsi" w:hAnsi="Times New Roman" w:cs="Times New Roman"/>
          <w:lang w:val="ru-RU" w:eastAsia="en-US"/>
        </w:rPr>
        <w:lastRenderedPageBreak/>
        <w:t>Работа с функцией «</w:t>
      </w:r>
      <w:r>
        <w:rPr>
          <w:rFonts w:ascii="Times New Roman" w:eastAsiaTheme="minorHAnsi" w:hAnsi="Times New Roman" w:cs="Times New Roman"/>
          <w:lang w:val="ru-RU" w:eastAsia="en-US"/>
        </w:rPr>
        <w:t>Согласованные и фактические КТГ</w:t>
      </w:r>
      <w:r w:rsidR="00E66FE4">
        <w:rPr>
          <w:rFonts w:ascii="Times New Roman" w:eastAsiaTheme="minorHAnsi" w:hAnsi="Times New Roman" w:cs="Times New Roman"/>
          <w:lang w:val="ru-RU" w:eastAsia="en-US"/>
        </w:rPr>
        <w:t xml:space="preserve"> ЕО</w:t>
      </w:r>
      <w:r>
        <w:rPr>
          <w:rFonts w:ascii="Times New Roman" w:eastAsiaTheme="minorHAnsi" w:hAnsi="Times New Roman" w:cs="Times New Roman"/>
          <w:lang w:val="ru-RU" w:eastAsia="en-US"/>
        </w:rPr>
        <w:t>»</w:t>
      </w:r>
    </w:p>
    <w:p w:rsidR="008C6DBB" w:rsidRPr="008C6DBB" w:rsidRDefault="008C6DBB" w:rsidP="008C6DBB">
      <w:pPr>
        <w:ind w:firstLine="431"/>
        <w:jc w:val="both"/>
      </w:pPr>
      <w:r>
        <w:t>В интерфейсе планировщика с помощью кнопки на панели инструментов «</w:t>
      </w:r>
      <w:r w:rsidR="00E66FE4">
        <w:t>Согласованные и фактические КТГ ЕО</w:t>
      </w:r>
      <w:r>
        <w:t xml:space="preserve">» </w:t>
      </w:r>
      <w:r w:rsidR="00E66FE4">
        <w:t>возможно просмотреть значение рассчитанных КТГ и данные согласования заказов ТОРО для строки отчёта</w:t>
      </w:r>
      <w:r>
        <w:t xml:space="preserve"> (рис. </w:t>
      </w:r>
      <w:r w:rsidR="00E66FE4">
        <w:t>7</w:t>
      </w:r>
      <w:r>
        <w:t>).</w:t>
      </w:r>
    </w:p>
    <w:p w:rsidR="008C6DBB" w:rsidRDefault="00E66FE4" w:rsidP="008C6DBB">
      <w:r>
        <w:rPr>
          <w:noProof/>
          <w:lang w:eastAsia="ru-RU"/>
        </w:rPr>
        <w:drawing>
          <wp:inline distT="0" distB="0" distL="0" distR="0" wp14:anchorId="69446C59" wp14:editId="4D250F56">
            <wp:extent cx="5940425" cy="260667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DBB" w:rsidRDefault="008C6DBB" w:rsidP="008C6DBB">
      <w:pPr>
        <w:jc w:val="center"/>
      </w:pPr>
      <w:r>
        <w:t xml:space="preserve">Рис. </w:t>
      </w:r>
      <w:r w:rsidR="00E66FE4">
        <w:t>6</w:t>
      </w:r>
      <w:r>
        <w:t>. Функция «</w:t>
      </w:r>
      <w:r w:rsidR="00E66FE4">
        <w:t>Согласованные и фактические КТГ ЕО</w:t>
      </w:r>
      <w:r>
        <w:t>»</w:t>
      </w:r>
    </w:p>
    <w:p w:rsidR="008C6DBB" w:rsidRDefault="00E66FE4" w:rsidP="00E66FE4">
      <w:pPr>
        <w:jc w:val="both"/>
      </w:pPr>
      <w:r>
        <w:tab/>
        <w:t>Далее открывается основной экран работы этой программы. Доступна выгрузка данных в двух режимах.</w:t>
      </w:r>
    </w:p>
    <w:p w:rsidR="00E66FE4" w:rsidRDefault="00E66FE4" w:rsidP="00E66FE4">
      <w:pPr>
        <w:pStyle w:val="a7"/>
        <w:numPr>
          <w:ilvl w:val="0"/>
          <w:numId w:val="6"/>
        </w:numPr>
        <w:rPr>
          <w:rFonts w:ascii="Arial" w:hAnsi="Arial" w:cs="Arial"/>
        </w:rPr>
      </w:pPr>
      <w:r w:rsidRPr="00E66FE4">
        <w:rPr>
          <w:rFonts w:ascii="Arial" w:hAnsi="Arial" w:cs="Arial"/>
        </w:rPr>
        <w:t xml:space="preserve">Режим просмотра </w:t>
      </w:r>
      <w:r>
        <w:rPr>
          <w:rFonts w:ascii="Arial" w:hAnsi="Arial" w:cs="Arial"/>
        </w:rPr>
        <w:t>«Данные расчёта КТГ».</w:t>
      </w:r>
    </w:p>
    <w:p w:rsidR="00E66FE4" w:rsidRDefault="00E66FE4" w:rsidP="00E66FE4">
      <w:pPr>
        <w:rPr>
          <w:rFonts w:cs="Arial"/>
        </w:rPr>
      </w:pPr>
      <w:r>
        <w:rPr>
          <w:rFonts w:cs="Arial"/>
        </w:rPr>
        <w:t>Селекционные экран заполняется номером БЕ, Планирующего  завода, списком выделенных ЕО, годом. Месяц, день и фазы необходимо ввести вручную (рис. 7).</w:t>
      </w:r>
    </w:p>
    <w:p w:rsidR="00E66FE4" w:rsidRDefault="00E66FE4" w:rsidP="00E66FE4">
      <w:pPr>
        <w:rPr>
          <w:rFonts w:cs="Arial"/>
        </w:rPr>
      </w:pPr>
      <w:r>
        <w:rPr>
          <w:rFonts w:cs="Arial"/>
          <w:noProof/>
          <w:lang w:eastAsia="ru-RU"/>
        </w:rPr>
        <w:drawing>
          <wp:inline distT="0" distB="0" distL="0" distR="0">
            <wp:extent cx="5934710" cy="2846705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FE4" w:rsidRDefault="00E66FE4" w:rsidP="00E66FE4">
      <w:pPr>
        <w:jc w:val="center"/>
        <w:rPr>
          <w:rFonts w:cs="Arial"/>
        </w:rPr>
      </w:pPr>
      <w:r>
        <w:rPr>
          <w:rFonts w:cs="Arial"/>
        </w:rPr>
        <w:lastRenderedPageBreak/>
        <w:t>Рис. 7. Режим «Данные расчёта КТГ»</w:t>
      </w:r>
    </w:p>
    <w:p w:rsidR="00E66FE4" w:rsidRDefault="00E66FE4" w:rsidP="00E66FE4">
      <w:pPr>
        <w:jc w:val="both"/>
        <w:rPr>
          <w:rFonts w:cs="Arial"/>
        </w:rPr>
      </w:pPr>
      <w:r>
        <w:rPr>
          <w:rFonts w:cs="Arial"/>
        </w:rPr>
        <w:tab/>
        <w:t>По заданным критериям программа выводит таблицу с рассчитанными значениями простоев и КТГ для данных ЕО (рис. 8).</w:t>
      </w:r>
    </w:p>
    <w:p w:rsidR="00E66FE4" w:rsidRDefault="00E66FE4" w:rsidP="00E66FE4">
      <w:pPr>
        <w:jc w:val="both"/>
        <w:rPr>
          <w:rFonts w:cs="Arial"/>
        </w:rPr>
      </w:pPr>
      <w:r>
        <w:rPr>
          <w:noProof/>
          <w:lang w:eastAsia="ru-RU"/>
        </w:rPr>
        <w:drawing>
          <wp:inline distT="0" distB="0" distL="0" distR="0" wp14:anchorId="0BAF7C4B" wp14:editId="48816241">
            <wp:extent cx="5940425" cy="24822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FE4" w:rsidRDefault="00E66FE4" w:rsidP="00E66FE4">
      <w:pPr>
        <w:jc w:val="center"/>
        <w:rPr>
          <w:rFonts w:cs="Arial"/>
        </w:rPr>
      </w:pPr>
      <w:r>
        <w:rPr>
          <w:rFonts w:cs="Arial"/>
        </w:rPr>
        <w:t>Рис. 8. Данные по рассчитанным значениям КТГ</w:t>
      </w:r>
    </w:p>
    <w:p w:rsidR="00E66FE4" w:rsidRPr="00E66FE4" w:rsidRDefault="00E66FE4" w:rsidP="00E66FE4">
      <w:pPr>
        <w:pStyle w:val="a7"/>
        <w:numPr>
          <w:ilvl w:val="0"/>
          <w:numId w:val="6"/>
        </w:numPr>
        <w:rPr>
          <w:rFonts w:ascii="Arial" w:hAnsi="Arial" w:cs="Arial"/>
        </w:rPr>
      </w:pPr>
      <w:r w:rsidRPr="00E66FE4">
        <w:rPr>
          <w:rFonts w:ascii="Arial" w:hAnsi="Arial" w:cs="Arial"/>
        </w:rPr>
        <w:t>Режим «Данные согласования заказов ТОРО».</w:t>
      </w:r>
    </w:p>
    <w:p w:rsidR="00030737" w:rsidRPr="00030737" w:rsidRDefault="00030737" w:rsidP="00030737">
      <w:pPr>
        <w:ind w:firstLine="360"/>
      </w:pPr>
      <w:r w:rsidRPr="00030737">
        <w:t>Селекционные экран заполняется номером БЕ, Планирующего  завода, спи</w:t>
      </w:r>
      <w:r>
        <w:t>ском выделенных ЕО,</w:t>
      </w:r>
      <w:r w:rsidRPr="00030737">
        <w:t xml:space="preserve"> фазы необходимо ввести вручную (рис. </w:t>
      </w:r>
      <w:r>
        <w:t>9</w:t>
      </w:r>
      <w:r w:rsidRPr="00030737">
        <w:t>).</w:t>
      </w:r>
    </w:p>
    <w:p w:rsidR="00030737" w:rsidRPr="00030737" w:rsidRDefault="00030737" w:rsidP="00030737">
      <w:pPr>
        <w:jc w:val="center"/>
        <w:rPr>
          <w:rFonts w:cs="Arial"/>
        </w:rPr>
      </w:pPr>
      <w:r>
        <w:rPr>
          <w:noProof/>
          <w:lang w:eastAsia="ru-RU"/>
        </w:rPr>
        <w:drawing>
          <wp:inline distT="0" distB="0" distL="0" distR="0" wp14:anchorId="514A828A" wp14:editId="5E3D0BEA">
            <wp:extent cx="5940425" cy="224345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737" w:rsidRPr="00030737" w:rsidRDefault="00030737" w:rsidP="00030737">
      <w:pPr>
        <w:jc w:val="center"/>
      </w:pPr>
      <w:r w:rsidRPr="00030737">
        <w:t xml:space="preserve">Рис. </w:t>
      </w:r>
      <w:r>
        <w:t>9</w:t>
      </w:r>
      <w:r w:rsidRPr="00030737">
        <w:t xml:space="preserve">. Режим «Данные </w:t>
      </w:r>
      <w:r>
        <w:t>согласования заказов ТОРО</w:t>
      </w:r>
      <w:r w:rsidRPr="00030737">
        <w:t>»</w:t>
      </w:r>
    </w:p>
    <w:p w:rsidR="00030737" w:rsidRPr="00030737" w:rsidRDefault="00030737" w:rsidP="00030737">
      <w:r w:rsidRPr="00030737">
        <w:tab/>
        <w:t xml:space="preserve">По заданным критериям программа выводит таблицу с рассчитанными значениями простоев и КТГ для данных ЕО (рис. </w:t>
      </w:r>
      <w:r>
        <w:t>10</w:t>
      </w:r>
      <w:r w:rsidRPr="00030737">
        <w:t>).</w:t>
      </w:r>
    </w:p>
    <w:p w:rsidR="00030737" w:rsidRPr="00030737" w:rsidRDefault="00030737" w:rsidP="00030737">
      <w:pPr>
        <w:rPr>
          <w:rFonts w:cs="Arial"/>
        </w:rPr>
      </w:pPr>
      <w:r>
        <w:rPr>
          <w:noProof/>
          <w:lang w:eastAsia="ru-RU"/>
        </w:rPr>
        <w:lastRenderedPageBreak/>
        <w:drawing>
          <wp:inline distT="0" distB="0" distL="0" distR="0" wp14:anchorId="488DFA26" wp14:editId="17C79D23">
            <wp:extent cx="5940425" cy="32791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737" w:rsidRPr="00030737" w:rsidRDefault="00030737" w:rsidP="00030737">
      <w:pPr>
        <w:jc w:val="center"/>
      </w:pPr>
      <w:r w:rsidRPr="00030737">
        <w:t xml:space="preserve">Рис. </w:t>
      </w:r>
      <w:r>
        <w:t>10</w:t>
      </w:r>
      <w:r w:rsidRPr="00030737">
        <w:t xml:space="preserve">. Данные по </w:t>
      </w:r>
      <w:r>
        <w:t>согласованию заказов ТОРО</w:t>
      </w:r>
    </w:p>
    <w:p w:rsidR="00E66FE4" w:rsidRPr="00E66FE4" w:rsidRDefault="00E66FE4" w:rsidP="00E66FE4">
      <w:pPr>
        <w:jc w:val="both"/>
        <w:rPr>
          <w:rFonts w:cs="Arial"/>
        </w:rPr>
      </w:pPr>
    </w:p>
    <w:p w:rsidR="008C6DBB" w:rsidRDefault="008C6DBB" w:rsidP="008C6DBB">
      <w:pPr>
        <w:jc w:val="both"/>
      </w:pPr>
    </w:p>
    <w:p w:rsidR="00D05C16" w:rsidRPr="00D05C16" w:rsidRDefault="00D05C16" w:rsidP="00D05C16">
      <w:pPr>
        <w:jc w:val="both"/>
      </w:pPr>
    </w:p>
    <w:sectPr w:rsidR="00D05C16" w:rsidRPr="00D05C16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9D2" w:rsidRDefault="007C49D2" w:rsidP="00251079">
      <w:pPr>
        <w:spacing w:after="0" w:line="240" w:lineRule="auto"/>
      </w:pPr>
      <w:r>
        <w:separator/>
      </w:r>
    </w:p>
  </w:endnote>
  <w:endnote w:type="continuationSeparator" w:id="0">
    <w:p w:rsidR="007C49D2" w:rsidRDefault="007C49D2" w:rsidP="002510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9D2" w:rsidRDefault="007C49D2" w:rsidP="00251079">
      <w:pPr>
        <w:spacing w:after="0" w:line="240" w:lineRule="auto"/>
      </w:pPr>
      <w:r>
        <w:separator/>
      </w:r>
    </w:p>
  </w:footnote>
  <w:footnote w:type="continuationSeparator" w:id="0">
    <w:p w:rsidR="007C49D2" w:rsidRDefault="007C49D2" w:rsidP="002510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251079" w:rsidTr="009C6E65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:rsidR="00251079" w:rsidRDefault="00251079" w:rsidP="00251079">
          <w:pPr>
            <w:pStyle w:val="a3"/>
            <w:ind w:left="-241" w:hanging="1"/>
            <w:rPr>
              <w:b/>
              <w:bCs/>
            </w:rPr>
          </w:pPr>
          <w:r>
            <w:rPr>
              <w:b/>
              <w:noProof/>
              <w:lang w:eastAsia="ru-RU"/>
            </w:rPr>
            <w:drawing>
              <wp:inline distT="0" distB="0" distL="0" distR="0" wp14:anchorId="1E5FD431" wp14:editId="5D5C199D">
                <wp:extent cx="2241550" cy="508000"/>
                <wp:effectExtent l="0" t="0" r="6350" b="6350"/>
                <wp:docPr id="2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:rsidR="00251079" w:rsidRPr="00D76201" w:rsidRDefault="00251079" w:rsidP="007C4EB9">
          <w:pPr>
            <w:jc w:val="center"/>
          </w:pPr>
          <w:r>
            <w:rPr>
              <w:rFonts w:eastAsia="Calibri"/>
              <w:b/>
              <w:bCs/>
              <w:szCs w:val="24"/>
            </w:rPr>
            <w:t>Памятка пользователя «</w:t>
          </w:r>
          <w:r w:rsidR="007C4EB9">
            <w:rPr>
              <w:rFonts w:eastAsia="Calibri"/>
              <w:b/>
              <w:bCs/>
              <w:szCs w:val="24"/>
            </w:rPr>
            <w:t xml:space="preserve">АРМ планировщика </w:t>
          </w:r>
          <w:proofErr w:type="spellStart"/>
          <w:r w:rsidR="007C4EB9">
            <w:rPr>
              <w:rFonts w:eastAsia="Calibri"/>
              <w:b/>
              <w:bCs/>
              <w:szCs w:val="24"/>
            </w:rPr>
            <w:t>ТОиР</w:t>
          </w:r>
          <w:proofErr w:type="spellEnd"/>
          <w:r>
            <w:rPr>
              <w:rFonts w:eastAsia="Calibri"/>
              <w:b/>
              <w:bCs/>
              <w:szCs w:val="24"/>
            </w:rPr>
            <w:t>»</w:t>
          </w:r>
          <w:r w:rsidR="007C4EB9">
            <w:rPr>
              <w:rFonts w:eastAsia="Calibri"/>
              <w:b/>
              <w:bCs/>
              <w:szCs w:val="24"/>
            </w:rPr>
            <w:t>. Выгрузка КТГ по парку и по классу</w:t>
          </w:r>
        </w:p>
      </w:tc>
    </w:tr>
    <w:tr w:rsidR="00251079" w:rsidRPr="00DB4B2F" w:rsidTr="009C6E65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:rsidR="00251079" w:rsidRDefault="00251079" w:rsidP="00251079">
          <w:pPr>
            <w:pStyle w:val="a3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:rsidR="00251079" w:rsidRPr="000B5B67" w:rsidRDefault="00251079" w:rsidP="00251079">
          <w:pPr>
            <w:jc w:val="center"/>
            <w:rPr>
              <w:b/>
              <w:bCs/>
            </w:rPr>
          </w:pPr>
        </w:p>
      </w:tc>
    </w:tr>
  </w:tbl>
  <w:p w:rsidR="00251079" w:rsidRDefault="0025107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EE18C3"/>
    <w:multiLevelType w:val="hybridMultilevel"/>
    <w:tmpl w:val="4DF64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98709F"/>
    <w:multiLevelType w:val="hybridMultilevel"/>
    <w:tmpl w:val="CC40587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3096B64"/>
    <w:multiLevelType w:val="hybridMultilevel"/>
    <w:tmpl w:val="42820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1F153F"/>
    <w:multiLevelType w:val="hybridMultilevel"/>
    <w:tmpl w:val="2ABAB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B27AF"/>
    <w:multiLevelType w:val="hybridMultilevel"/>
    <w:tmpl w:val="309ADD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C4C20"/>
    <w:multiLevelType w:val="multilevel"/>
    <w:tmpl w:val="8F5A0E0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079"/>
    <w:rsid w:val="00030737"/>
    <w:rsid w:val="00052D7E"/>
    <w:rsid w:val="00110A21"/>
    <w:rsid w:val="001C3C68"/>
    <w:rsid w:val="00251079"/>
    <w:rsid w:val="002E14A2"/>
    <w:rsid w:val="00322777"/>
    <w:rsid w:val="005A614B"/>
    <w:rsid w:val="00746BCC"/>
    <w:rsid w:val="007B745C"/>
    <w:rsid w:val="007C49D2"/>
    <w:rsid w:val="007C4EB9"/>
    <w:rsid w:val="008C6DBB"/>
    <w:rsid w:val="00AB1BD9"/>
    <w:rsid w:val="00C3381A"/>
    <w:rsid w:val="00D05C16"/>
    <w:rsid w:val="00D22857"/>
    <w:rsid w:val="00E66FE4"/>
    <w:rsid w:val="00EE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89DF4"/>
  <w15:chartTrackingRefBased/>
  <w15:docId w15:val="{D442D2A4-2409-4770-828B-110CD4CF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0A21"/>
    <w:rPr>
      <w:rFonts w:ascii="Arial" w:hAnsi="Arial"/>
      <w:sz w:val="24"/>
    </w:rPr>
  </w:style>
  <w:style w:type="paragraph" w:styleId="1">
    <w:name w:val="heading 1"/>
    <w:basedOn w:val="a"/>
    <w:next w:val="a"/>
    <w:link w:val="10"/>
    <w:qFormat/>
    <w:rsid w:val="00110A21"/>
    <w:pPr>
      <w:keepNext/>
      <w:keepLines/>
      <w:pageBreakBefore/>
      <w:numPr>
        <w:numId w:val="1"/>
      </w:numPr>
      <w:spacing w:before="400" w:after="600" w:line="240" w:lineRule="auto"/>
      <w:ind w:left="431" w:hanging="431"/>
      <w:outlineLvl w:val="0"/>
    </w:pPr>
    <w:rPr>
      <w:rFonts w:ascii="Verdana" w:eastAsia="Times New Roman" w:hAnsi="Verdana" w:cs="Arial"/>
      <w:b/>
      <w:bCs/>
      <w:color w:val="4D4D4D"/>
      <w:szCs w:val="14"/>
      <w:lang w:val="de-DE" w:eastAsia="de-DE"/>
    </w:rPr>
  </w:style>
  <w:style w:type="paragraph" w:styleId="2">
    <w:name w:val="heading 2"/>
    <w:basedOn w:val="a"/>
    <w:next w:val="a"/>
    <w:link w:val="20"/>
    <w:autoRedefine/>
    <w:qFormat/>
    <w:rsid w:val="002E14A2"/>
    <w:pPr>
      <w:keepNext/>
      <w:pageBreakBefore/>
      <w:numPr>
        <w:ilvl w:val="1"/>
        <w:numId w:val="1"/>
      </w:numPr>
      <w:spacing w:before="360" w:after="120" w:line="240" w:lineRule="auto"/>
      <w:ind w:left="578" w:hanging="578"/>
      <w:outlineLvl w:val="1"/>
    </w:pPr>
    <w:rPr>
      <w:rFonts w:ascii="Verdana" w:eastAsia="Times New Roman" w:hAnsi="Verdana" w:cs="Arial"/>
      <w:bCs/>
      <w:color w:val="4D4D4D"/>
      <w:sz w:val="36"/>
      <w:szCs w:val="14"/>
      <w:lang w:val="en-US" w:eastAsia="de-DE"/>
    </w:rPr>
  </w:style>
  <w:style w:type="paragraph" w:styleId="3">
    <w:name w:val="heading 3"/>
    <w:basedOn w:val="a"/>
    <w:next w:val="a"/>
    <w:link w:val="30"/>
    <w:qFormat/>
    <w:rsid w:val="002E14A2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Verdana" w:eastAsia="Times New Roman" w:hAnsi="Verdana" w:cs="Arial"/>
      <w:bCs/>
      <w:color w:val="4D4D4D"/>
      <w:sz w:val="28"/>
      <w:szCs w:val="26"/>
      <w:lang w:val="de-DE" w:eastAsia="de-DE"/>
    </w:rPr>
  </w:style>
  <w:style w:type="paragraph" w:styleId="4">
    <w:name w:val="heading 4"/>
    <w:basedOn w:val="a"/>
    <w:next w:val="a"/>
    <w:link w:val="40"/>
    <w:qFormat/>
    <w:rsid w:val="002E14A2"/>
    <w:pPr>
      <w:keepNext/>
      <w:numPr>
        <w:ilvl w:val="3"/>
        <w:numId w:val="1"/>
      </w:numPr>
      <w:spacing w:after="0" w:line="240" w:lineRule="auto"/>
      <w:jc w:val="both"/>
      <w:outlineLvl w:val="3"/>
    </w:pPr>
    <w:rPr>
      <w:rFonts w:ascii="Verdana" w:eastAsia="Times New Roman" w:hAnsi="Verdana" w:cs="Times New Roman"/>
      <w:b/>
      <w:color w:val="4D4D4D"/>
      <w:szCs w:val="20"/>
      <w:lang w:val="de-DE" w:eastAsia="de-DE"/>
    </w:rPr>
  </w:style>
  <w:style w:type="paragraph" w:styleId="5">
    <w:name w:val="heading 5"/>
    <w:basedOn w:val="a"/>
    <w:next w:val="a"/>
    <w:link w:val="50"/>
    <w:qFormat/>
    <w:rsid w:val="002E14A2"/>
    <w:pPr>
      <w:keepNext/>
      <w:numPr>
        <w:ilvl w:val="4"/>
        <w:numId w:val="1"/>
      </w:numPr>
      <w:spacing w:after="0" w:line="240" w:lineRule="auto"/>
      <w:outlineLvl w:val="4"/>
    </w:pPr>
    <w:rPr>
      <w:rFonts w:ascii="Times New Roman" w:eastAsia="Times New Roman" w:hAnsi="Times New Roman" w:cs="Times New Roman"/>
      <w:b/>
      <w:color w:val="4D4D4D"/>
      <w:sz w:val="44"/>
      <w:szCs w:val="20"/>
      <w:lang w:val="de-DE" w:eastAsia="de-DE"/>
    </w:rPr>
  </w:style>
  <w:style w:type="paragraph" w:styleId="6">
    <w:name w:val="heading 6"/>
    <w:basedOn w:val="a"/>
    <w:next w:val="a"/>
    <w:link w:val="60"/>
    <w:qFormat/>
    <w:rsid w:val="002E14A2"/>
    <w:pPr>
      <w:keepNext/>
      <w:numPr>
        <w:ilvl w:val="5"/>
        <w:numId w:val="1"/>
      </w:numPr>
      <w:spacing w:after="0" w:line="240" w:lineRule="auto"/>
      <w:outlineLvl w:val="5"/>
    </w:pPr>
    <w:rPr>
      <w:rFonts w:ascii="Times New Roman" w:eastAsia="Times New Roman" w:hAnsi="Times New Roman" w:cs="Times New Roman"/>
      <w:color w:val="4D4D4D"/>
      <w:sz w:val="80"/>
      <w:szCs w:val="20"/>
      <w:lang w:val="de-DE" w:eastAsia="de-DE"/>
    </w:rPr>
  </w:style>
  <w:style w:type="paragraph" w:styleId="7">
    <w:name w:val="heading 7"/>
    <w:basedOn w:val="a"/>
    <w:next w:val="a"/>
    <w:link w:val="70"/>
    <w:qFormat/>
    <w:rsid w:val="002E14A2"/>
    <w:pPr>
      <w:keepNext/>
      <w:numPr>
        <w:ilvl w:val="6"/>
        <w:numId w:val="1"/>
      </w:numPr>
      <w:spacing w:after="0" w:line="240" w:lineRule="auto"/>
      <w:outlineLvl w:val="6"/>
    </w:pPr>
    <w:rPr>
      <w:rFonts w:ascii="Times New Roman" w:eastAsia="Times New Roman" w:hAnsi="Times New Roman" w:cs="Times New Roman"/>
      <w:color w:val="4D4D4D"/>
      <w:szCs w:val="20"/>
      <w:lang w:val="de-DE" w:eastAsia="de-DE"/>
    </w:rPr>
  </w:style>
  <w:style w:type="paragraph" w:styleId="8">
    <w:name w:val="heading 8"/>
    <w:basedOn w:val="a"/>
    <w:next w:val="a"/>
    <w:link w:val="80"/>
    <w:qFormat/>
    <w:rsid w:val="002E14A2"/>
    <w:pPr>
      <w:keepNext/>
      <w:numPr>
        <w:ilvl w:val="7"/>
        <w:numId w:val="1"/>
      </w:numPr>
      <w:spacing w:after="0" w:line="240" w:lineRule="auto"/>
      <w:outlineLvl w:val="7"/>
    </w:pPr>
    <w:rPr>
      <w:rFonts w:ascii="Times New Roman" w:eastAsia="Times New Roman" w:hAnsi="Times New Roman" w:cs="Times New Roman"/>
      <w:b/>
      <w:color w:val="4D4D4D"/>
      <w:sz w:val="28"/>
      <w:szCs w:val="20"/>
      <w:lang w:val="de-DE" w:eastAsia="de-DE"/>
    </w:rPr>
  </w:style>
  <w:style w:type="paragraph" w:styleId="9">
    <w:name w:val="heading 9"/>
    <w:basedOn w:val="a"/>
    <w:next w:val="a"/>
    <w:link w:val="90"/>
    <w:qFormat/>
    <w:rsid w:val="002E14A2"/>
    <w:pPr>
      <w:keepNext/>
      <w:numPr>
        <w:ilvl w:val="8"/>
        <w:numId w:val="1"/>
      </w:numPr>
      <w:spacing w:after="0" w:line="240" w:lineRule="auto"/>
      <w:jc w:val="center"/>
      <w:outlineLvl w:val="8"/>
    </w:pPr>
    <w:rPr>
      <w:rFonts w:ascii="Times New Roman" w:eastAsia="Times New Roman" w:hAnsi="Times New Roman" w:cs="Times New Roman"/>
      <w:b/>
      <w:color w:val="4D4D4D"/>
      <w:sz w:val="16"/>
      <w:szCs w:val="20"/>
      <w:lang w:val="de-DE" w:eastAsia="de-D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2510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251079"/>
  </w:style>
  <w:style w:type="paragraph" w:styleId="a5">
    <w:name w:val="footer"/>
    <w:basedOn w:val="a"/>
    <w:link w:val="a6"/>
    <w:uiPriority w:val="99"/>
    <w:unhideWhenUsed/>
    <w:rsid w:val="002510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51079"/>
  </w:style>
  <w:style w:type="character" w:customStyle="1" w:styleId="10">
    <w:name w:val="Заголовок 1 Знак"/>
    <w:basedOn w:val="a0"/>
    <w:link w:val="1"/>
    <w:rsid w:val="00110A21"/>
    <w:rPr>
      <w:rFonts w:ascii="Verdana" w:eastAsia="Times New Roman" w:hAnsi="Verdana" w:cs="Arial"/>
      <w:b/>
      <w:bCs/>
      <w:color w:val="4D4D4D"/>
      <w:sz w:val="24"/>
      <w:szCs w:val="14"/>
      <w:lang w:val="de-DE" w:eastAsia="de-DE"/>
    </w:rPr>
  </w:style>
  <w:style w:type="character" w:customStyle="1" w:styleId="20">
    <w:name w:val="Заголовок 2 Знак"/>
    <w:basedOn w:val="a0"/>
    <w:link w:val="2"/>
    <w:rsid w:val="002E14A2"/>
    <w:rPr>
      <w:rFonts w:ascii="Verdana" w:eastAsia="Times New Roman" w:hAnsi="Verdana" w:cs="Arial"/>
      <w:bCs/>
      <w:color w:val="4D4D4D"/>
      <w:sz w:val="36"/>
      <w:szCs w:val="14"/>
      <w:lang w:val="en-US" w:eastAsia="de-DE"/>
    </w:rPr>
  </w:style>
  <w:style w:type="character" w:customStyle="1" w:styleId="30">
    <w:name w:val="Заголовок 3 Знак"/>
    <w:basedOn w:val="a0"/>
    <w:link w:val="3"/>
    <w:rsid w:val="002E14A2"/>
    <w:rPr>
      <w:rFonts w:ascii="Verdana" w:eastAsia="Times New Roman" w:hAnsi="Verdana" w:cs="Arial"/>
      <w:bCs/>
      <w:color w:val="4D4D4D"/>
      <w:sz w:val="28"/>
      <w:szCs w:val="26"/>
      <w:lang w:val="de-DE" w:eastAsia="de-DE"/>
    </w:rPr>
  </w:style>
  <w:style w:type="character" w:customStyle="1" w:styleId="40">
    <w:name w:val="Заголовок 4 Знак"/>
    <w:basedOn w:val="a0"/>
    <w:link w:val="4"/>
    <w:rsid w:val="002E14A2"/>
    <w:rPr>
      <w:rFonts w:ascii="Verdana" w:eastAsia="Times New Roman" w:hAnsi="Verdana" w:cs="Times New Roman"/>
      <w:b/>
      <w:color w:val="4D4D4D"/>
      <w:sz w:val="24"/>
      <w:szCs w:val="20"/>
      <w:lang w:val="de-DE" w:eastAsia="de-DE"/>
    </w:rPr>
  </w:style>
  <w:style w:type="character" w:customStyle="1" w:styleId="50">
    <w:name w:val="Заголовок 5 Знак"/>
    <w:basedOn w:val="a0"/>
    <w:link w:val="5"/>
    <w:rsid w:val="002E14A2"/>
    <w:rPr>
      <w:rFonts w:ascii="Times New Roman" w:eastAsia="Times New Roman" w:hAnsi="Times New Roman" w:cs="Times New Roman"/>
      <w:b/>
      <w:color w:val="4D4D4D"/>
      <w:sz w:val="44"/>
      <w:szCs w:val="20"/>
      <w:lang w:val="de-DE" w:eastAsia="de-DE"/>
    </w:rPr>
  </w:style>
  <w:style w:type="character" w:customStyle="1" w:styleId="60">
    <w:name w:val="Заголовок 6 Знак"/>
    <w:basedOn w:val="a0"/>
    <w:link w:val="6"/>
    <w:rsid w:val="002E14A2"/>
    <w:rPr>
      <w:rFonts w:ascii="Times New Roman" w:eastAsia="Times New Roman" w:hAnsi="Times New Roman" w:cs="Times New Roman"/>
      <w:color w:val="4D4D4D"/>
      <w:sz w:val="80"/>
      <w:szCs w:val="20"/>
      <w:lang w:val="de-DE" w:eastAsia="de-DE"/>
    </w:rPr>
  </w:style>
  <w:style w:type="character" w:customStyle="1" w:styleId="70">
    <w:name w:val="Заголовок 7 Знак"/>
    <w:basedOn w:val="a0"/>
    <w:link w:val="7"/>
    <w:rsid w:val="002E14A2"/>
    <w:rPr>
      <w:rFonts w:ascii="Times New Roman" w:eastAsia="Times New Roman" w:hAnsi="Times New Roman" w:cs="Times New Roman"/>
      <w:color w:val="4D4D4D"/>
      <w:sz w:val="24"/>
      <w:szCs w:val="20"/>
      <w:lang w:val="de-DE" w:eastAsia="de-DE"/>
    </w:rPr>
  </w:style>
  <w:style w:type="character" w:customStyle="1" w:styleId="80">
    <w:name w:val="Заголовок 8 Знак"/>
    <w:basedOn w:val="a0"/>
    <w:link w:val="8"/>
    <w:rsid w:val="002E14A2"/>
    <w:rPr>
      <w:rFonts w:ascii="Times New Roman" w:eastAsia="Times New Roman" w:hAnsi="Times New Roman" w:cs="Times New Roman"/>
      <w:b/>
      <w:color w:val="4D4D4D"/>
      <w:sz w:val="28"/>
      <w:szCs w:val="20"/>
      <w:lang w:val="de-DE" w:eastAsia="de-DE"/>
    </w:rPr>
  </w:style>
  <w:style w:type="character" w:customStyle="1" w:styleId="90">
    <w:name w:val="Заголовок 9 Знак"/>
    <w:basedOn w:val="a0"/>
    <w:link w:val="9"/>
    <w:rsid w:val="002E14A2"/>
    <w:rPr>
      <w:rFonts w:ascii="Times New Roman" w:eastAsia="Times New Roman" w:hAnsi="Times New Roman" w:cs="Times New Roman"/>
      <w:b/>
      <w:color w:val="4D4D4D"/>
      <w:sz w:val="16"/>
      <w:szCs w:val="20"/>
      <w:lang w:val="de-DE" w:eastAsia="de-DE"/>
    </w:rPr>
  </w:style>
  <w:style w:type="paragraph" w:styleId="a7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"/>
    <w:link w:val="a8"/>
    <w:uiPriority w:val="34"/>
    <w:qFormat/>
    <w:rsid w:val="00052D7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8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link w:val="a7"/>
    <w:uiPriority w:val="34"/>
    <w:locked/>
    <w:rsid w:val="00052D7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7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Popova Darya(CE)</dc:creator>
  <cp:keywords/>
  <dc:description/>
  <cp:lastModifiedBy>VoronkovNA</cp:lastModifiedBy>
  <cp:revision>7</cp:revision>
  <dcterms:created xsi:type="dcterms:W3CDTF">2021-09-21T15:30:00Z</dcterms:created>
  <dcterms:modified xsi:type="dcterms:W3CDTF">2023-05-30T16:45:00Z</dcterms:modified>
</cp:coreProperties>
</file>