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95B" w:rsidRDefault="000E2124" w:rsidP="00A5600F">
      <w:pPr>
        <w:pStyle w:val="1"/>
        <w:tabs>
          <w:tab w:val="clear" w:pos="432"/>
        </w:tabs>
        <w:spacing w:before="0"/>
        <w:ind w:left="431" w:hanging="431"/>
        <w:rPr>
          <w:rFonts w:ascii="Times New Roman" w:eastAsiaTheme="minorHAnsi" w:hAnsi="Times New Roman" w:cs="Times New Roman"/>
          <w:lang w:val="ru-RU" w:eastAsia="en-US"/>
        </w:rPr>
      </w:pPr>
      <w:r>
        <w:rPr>
          <w:rFonts w:ascii="Times New Roman" w:eastAsiaTheme="minorHAnsi" w:hAnsi="Times New Roman" w:cs="Times New Roman"/>
          <w:lang w:val="ru-RU" w:eastAsia="en-US"/>
        </w:rPr>
        <w:t>Моделирование</w:t>
      </w:r>
      <w:r w:rsidR="000F395B">
        <w:rPr>
          <w:rFonts w:ascii="Times New Roman" w:eastAsiaTheme="minorHAnsi" w:hAnsi="Times New Roman" w:cs="Times New Roman"/>
          <w:lang w:val="ru-RU" w:eastAsia="en-US"/>
        </w:rPr>
        <w:t xml:space="preserve"> с заданным периодом </w:t>
      </w:r>
    </w:p>
    <w:p w:rsidR="00C615AE" w:rsidRDefault="00C615AE" w:rsidP="00A5600F">
      <w:pPr>
        <w:ind w:firstLine="432"/>
        <w:jc w:val="both"/>
      </w:pPr>
      <w:r>
        <w:t xml:space="preserve">Для выполнения моделирования план-графика на заданный период в транзакции </w:t>
      </w:r>
      <w:r w:rsidRPr="00A5600F">
        <w:t>ZPM</w:t>
      </w:r>
      <w:r w:rsidRPr="00110A21">
        <w:t>_</w:t>
      </w:r>
      <w:r w:rsidRPr="00A5600F">
        <w:t>PLAN</w:t>
      </w:r>
      <w:r>
        <w:t xml:space="preserve"> добавлен новый режим (рис.1):</w:t>
      </w:r>
    </w:p>
    <w:p w:rsidR="00C615AE" w:rsidRDefault="00C615AE" w:rsidP="00A5600F">
      <w:r>
        <w:rPr>
          <w:noProof/>
          <w:lang w:eastAsia="ru-RU"/>
        </w:rPr>
        <w:drawing>
          <wp:inline distT="0" distB="0" distL="0" distR="0">
            <wp:extent cx="6096000" cy="25790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35" cy="258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1443" w:rsidRPr="00030737" w:rsidRDefault="001B1443" w:rsidP="00A5600F">
      <w:pPr>
        <w:jc w:val="center"/>
        <w:rPr>
          <w:szCs w:val="24"/>
        </w:rPr>
      </w:pPr>
      <w:r w:rsidRPr="00030737">
        <w:rPr>
          <w:szCs w:val="24"/>
        </w:rPr>
        <w:t xml:space="preserve">Рис. 1. </w:t>
      </w:r>
      <w:proofErr w:type="spellStart"/>
      <w:r w:rsidRPr="00030737">
        <w:rPr>
          <w:szCs w:val="24"/>
        </w:rPr>
        <w:t>Подэкран</w:t>
      </w:r>
      <w:proofErr w:type="spellEnd"/>
      <w:r w:rsidRPr="00030737">
        <w:rPr>
          <w:szCs w:val="24"/>
        </w:rPr>
        <w:t xml:space="preserve"> «</w:t>
      </w:r>
      <w:r>
        <w:rPr>
          <w:szCs w:val="24"/>
        </w:rPr>
        <w:t>Выбор режима работы</w:t>
      </w:r>
      <w:r w:rsidRPr="00030737">
        <w:rPr>
          <w:szCs w:val="24"/>
        </w:rPr>
        <w:t>»</w:t>
      </w:r>
    </w:p>
    <w:p w:rsidR="00C615AE" w:rsidRDefault="00C615AE" w:rsidP="00A5600F">
      <w:pPr>
        <w:ind w:firstLine="432"/>
        <w:jc w:val="both"/>
      </w:pPr>
      <w:r>
        <w:t>Выбор периода планирования выполняется с использованием по</w:t>
      </w:r>
      <w:r w:rsidR="008D1B36">
        <w:t>ля «Год планирования» (рис.2):</w:t>
      </w:r>
    </w:p>
    <w:p w:rsidR="00EF6FAC" w:rsidRDefault="00EF6FAC" w:rsidP="00A5600F">
      <w:r>
        <w:rPr>
          <w:noProof/>
          <w:lang w:eastAsia="ru-RU"/>
        </w:rPr>
        <w:drawing>
          <wp:inline distT="0" distB="0" distL="0" distR="0">
            <wp:extent cx="6084250" cy="2279072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141" cy="2292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1443" w:rsidRPr="00030737" w:rsidRDefault="001B1443" w:rsidP="00A5600F">
      <w:pPr>
        <w:jc w:val="center"/>
        <w:rPr>
          <w:szCs w:val="24"/>
        </w:rPr>
      </w:pPr>
      <w:r w:rsidRPr="00030737">
        <w:rPr>
          <w:szCs w:val="24"/>
        </w:rPr>
        <w:t xml:space="preserve">Рис. </w:t>
      </w:r>
      <w:r w:rsidR="00C07CE6">
        <w:rPr>
          <w:szCs w:val="24"/>
        </w:rPr>
        <w:t>2</w:t>
      </w:r>
      <w:r w:rsidRPr="00030737">
        <w:rPr>
          <w:szCs w:val="24"/>
        </w:rPr>
        <w:t xml:space="preserve">. </w:t>
      </w:r>
      <w:proofErr w:type="spellStart"/>
      <w:r w:rsidRPr="00030737">
        <w:rPr>
          <w:szCs w:val="24"/>
        </w:rPr>
        <w:t>Подэкран</w:t>
      </w:r>
      <w:proofErr w:type="spellEnd"/>
      <w:r w:rsidRPr="00030737">
        <w:rPr>
          <w:szCs w:val="24"/>
        </w:rPr>
        <w:t xml:space="preserve"> «</w:t>
      </w:r>
      <w:r>
        <w:rPr>
          <w:szCs w:val="24"/>
        </w:rPr>
        <w:t>Плановые данные</w:t>
      </w:r>
      <w:r w:rsidRPr="00030737">
        <w:rPr>
          <w:szCs w:val="24"/>
        </w:rPr>
        <w:t>»</w:t>
      </w:r>
    </w:p>
    <w:p w:rsidR="00EF6FAC" w:rsidRDefault="00EF6FAC" w:rsidP="00A5600F">
      <w:pPr>
        <w:ind w:firstLine="432"/>
        <w:jc w:val="both"/>
      </w:pPr>
      <w:r>
        <w:t>Данное поле позволяет вводить как единичное значение, так и любой диапазон. Ограничением является, что период планирования не может быть более 10 лет.</w:t>
      </w:r>
    </w:p>
    <w:p w:rsidR="008F770F" w:rsidRDefault="00EF6FAC" w:rsidP="00A5600F">
      <w:pPr>
        <w:ind w:firstLine="432"/>
        <w:jc w:val="both"/>
      </w:pPr>
      <w:r>
        <w:t xml:space="preserve">Основной отчет в режиме «Моделирование среднесрочного план-графика» </w:t>
      </w:r>
      <w:r w:rsidR="00721AE2">
        <w:t>динамически выводит информацию о КТГ и простоях оборудования исходя из сроков, указанных на селекционном экране</w:t>
      </w:r>
      <w:r w:rsidR="00652473">
        <w:t xml:space="preserve">. Двойным кликом по полям «Общий простой», либо «Расчетный КТГ» открывается дополнительный экран с детализацией данных по годам заданного периода </w:t>
      </w:r>
      <w:r w:rsidR="008F770F">
        <w:t>(рис.3):</w:t>
      </w:r>
    </w:p>
    <w:p w:rsidR="008F770F" w:rsidRDefault="00652473" w:rsidP="00A5600F">
      <w:r>
        <w:rPr>
          <w:noProof/>
          <w:lang w:eastAsia="ru-RU"/>
        </w:rPr>
        <w:lastRenderedPageBreak/>
        <w:drawing>
          <wp:inline distT="0" distB="0" distL="0" distR="0">
            <wp:extent cx="6089311" cy="3041073"/>
            <wp:effectExtent l="0" t="0" r="698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464" cy="304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CE6" w:rsidRPr="00C07CE6" w:rsidRDefault="00C07CE6" w:rsidP="00A5600F">
      <w:pPr>
        <w:jc w:val="center"/>
        <w:rPr>
          <w:szCs w:val="24"/>
        </w:rPr>
      </w:pPr>
      <w:r w:rsidRPr="00030737">
        <w:rPr>
          <w:szCs w:val="24"/>
        </w:rPr>
        <w:t xml:space="preserve">Рис. </w:t>
      </w:r>
      <w:r>
        <w:rPr>
          <w:szCs w:val="24"/>
        </w:rPr>
        <w:t>3</w:t>
      </w:r>
      <w:r w:rsidRPr="00030737">
        <w:rPr>
          <w:szCs w:val="24"/>
        </w:rPr>
        <w:t xml:space="preserve">. </w:t>
      </w:r>
      <w:r>
        <w:rPr>
          <w:szCs w:val="24"/>
        </w:rPr>
        <w:t xml:space="preserve">Поля отчета. </w:t>
      </w:r>
      <w:r>
        <w:rPr>
          <w:rFonts w:cs="Arial"/>
          <w:szCs w:val="24"/>
        </w:rPr>
        <w:t>Итоговые данные по КТГ</w:t>
      </w:r>
      <w:r>
        <w:rPr>
          <w:rFonts w:cs="Arial"/>
          <w:szCs w:val="24"/>
          <w:lang w:val="en-US"/>
        </w:rPr>
        <w:t>/</w:t>
      </w:r>
      <w:r>
        <w:rPr>
          <w:rFonts w:cs="Arial"/>
          <w:szCs w:val="24"/>
        </w:rPr>
        <w:t>Простоям</w:t>
      </w:r>
    </w:p>
    <w:p w:rsidR="008F770F" w:rsidRPr="00A5600F" w:rsidRDefault="00652473" w:rsidP="00A5600F">
      <w:pPr>
        <w:ind w:firstLine="432"/>
        <w:jc w:val="both"/>
      </w:pPr>
      <w:r w:rsidRPr="00A5600F">
        <w:t>Помимо итоговых данных в отчете доступна информация по КТГ и простоям оборудования в разрезах годов и месяцев периода планирования (рис.4):</w:t>
      </w:r>
    </w:p>
    <w:p w:rsidR="00652473" w:rsidRPr="00652473" w:rsidRDefault="00652473" w:rsidP="00A5600F">
      <w:pPr>
        <w:rPr>
          <w:rFonts w:cs="Arial"/>
        </w:rPr>
      </w:pPr>
      <w:r>
        <w:rPr>
          <w:rFonts w:cs="Arial"/>
          <w:noProof/>
          <w:lang w:eastAsia="ru-RU"/>
        </w:rPr>
        <w:drawing>
          <wp:inline distT="0" distB="0" distL="0" distR="0">
            <wp:extent cx="6089015" cy="2316027"/>
            <wp:effectExtent l="0" t="0" r="698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517" cy="231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CE6" w:rsidRPr="00C07CE6" w:rsidRDefault="00C07CE6" w:rsidP="00A5600F">
      <w:pPr>
        <w:jc w:val="center"/>
        <w:rPr>
          <w:szCs w:val="24"/>
        </w:rPr>
      </w:pPr>
      <w:r w:rsidRPr="00030737">
        <w:rPr>
          <w:szCs w:val="24"/>
        </w:rPr>
        <w:t xml:space="preserve">Рис. </w:t>
      </w:r>
      <w:r>
        <w:rPr>
          <w:szCs w:val="24"/>
        </w:rPr>
        <w:t>4</w:t>
      </w:r>
      <w:r w:rsidRPr="00030737">
        <w:rPr>
          <w:szCs w:val="24"/>
        </w:rPr>
        <w:t xml:space="preserve">. </w:t>
      </w:r>
      <w:r>
        <w:rPr>
          <w:szCs w:val="24"/>
        </w:rPr>
        <w:t xml:space="preserve">Поля отчета. </w:t>
      </w:r>
      <w:r>
        <w:rPr>
          <w:rFonts w:cs="Arial"/>
          <w:szCs w:val="24"/>
        </w:rPr>
        <w:t>Д</w:t>
      </w:r>
      <w:r>
        <w:rPr>
          <w:rFonts w:cs="Arial"/>
          <w:szCs w:val="24"/>
        </w:rPr>
        <w:t>анные по КТГ</w:t>
      </w:r>
      <w:r w:rsidRPr="00C07CE6">
        <w:rPr>
          <w:rFonts w:cs="Arial"/>
          <w:szCs w:val="24"/>
        </w:rPr>
        <w:t>/</w:t>
      </w:r>
      <w:r>
        <w:rPr>
          <w:rFonts w:cs="Arial"/>
          <w:szCs w:val="24"/>
        </w:rPr>
        <w:t>Простоям</w:t>
      </w:r>
      <w:r>
        <w:rPr>
          <w:rFonts w:cs="Arial"/>
          <w:szCs w:val="24"/>
        </w:rPr>
        <w:t xml:space="preserve"> в разрезе годов и месяцев</w:t>
      </w:r>
    </w:p>
    <w:p w:rsidR="00652473" w:rsidRPr="00A5600F" w:rsidRDefault="00652473" w:rsidP="00A5600F">
      <w:pPr>
        <w:ind w:firstLine="432"/>
        <w:jc w:val="both"/>
      </w:pPr>
      <w:r w:rsidRPr="00A5600F">
        <w:t>Дополнительно в отчет выв</w:t>
      </w:r>
      <w:r w:rsidR="00CC0CC4" w:rsidRPr="00A5600F">
        <w:t>едена информация по Видам работ (рис.5):</w:t>
      </w:r>
    </w:p>
    <w:p w:rsidR="00CC0CC4" w:rsidRDefault="00CC0CC4" w:rsidP="00A5600F">
      <w:pPr>
        <w:pStyle w:val="a7"/>
        <w:numPr>
          <w:ilvl w:val="0"/>
          <w:numId w:val="11"/>
        </w:numPr>
        <w:rPr>
          <w:rFonts w:ascii="Arial" w:hAnsi="Arial" w:cs="Arial"/>
        </w:rPr>
      </w:pPr>
      <w:r w:rsidRPr="00CC0CC4">
        <w:rPr>
          <w:rFonts w:ascii="Arial" w:hAnsi="Arial" w:cs="Arial"/>
        </w:rPr>
        <w:t>Коли</w:t>
      </w:r>
      <w:r>
        <w:rPr>
          <w:rFonts w:ascii="Arial" w:hAnsi="Arial" w:cs="Arial"/>
        </w:rPr>
        <w:t>чество воздействий по Виду работ (итого и по годам)</w:t>
      </w:r>
    </w:p>
    <w:p w:rsidR="00CC0CC4" w:rsidRDefault="00CC0CC4" w:rsidP="00A5600F">
      <w:pPr>
        <w:pStyle w:val="a7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Нормативный простой по Виду работ</w:t>
      </w:r>
    </w:p>
    <w:p w:rsidR="00CC0CC4" w:rsidRPr="00CC0CC4" w:rsidRDefault="00CC0CC4" w:rsidP="00A5600F">
      <w:pPr>
        <w:pStyle w:val="a7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Простой по Виду работ (итого и по годам)</w:t>
      </w:r>
    </w:p>
    <w:p w:rsidR="00721AE2" w:rsidRDefault="00CC0CC4" w:rsidP="00A5600F">
      <w:r>
        <w:rPr>
          <w:noProof/>
          <w:lang w:eastAsia="ru-RU"/>
        </w:rPr>
        <w:lastRenderedPageBreak/>
        <w:drawing>
          <wp:inline distT="0" distB="0" distL="0" distR="0">
            <wp:extent cx="6104107" cy="227214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23" cy="227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CE6" w:rsidRPr="00C07CE6" w:rsidRDefault="00C07CE6" w:rsidP="00A5600F">
      <w:pPr>
        <w:jc w:val="center"/>
        <w:rPr>
          <w:szCs w:val="24"/>
        </w:rPr>
      </w:pPr>
      <w:r w:rsidRPr="00030737">
        <w:rPr>
          <w:szCs w:val="24"/>
        </w:rPr>
        <w:t xml:space="preserve">Рис. </w:t>
      </w:r>
      <w:r>
        <w:rPr>
          <w:szCs w:val="24"/>
        </w:rPr>
        <w:t>5</w:t>
      </w:r>
      <w:r w:rsidRPr="00030737">
        <w:rPr>
          <w:szCs w:val="24"/>
        </w:rPr>
        <w:t xml:space="preserve">. </w:t>
      </w:r>
      <w:r>
        <w:rPr>
          <w:szCs w:val="24"/>
        </w:rPr>
        <w:t xml:space="preserve">Поля отчета. </w:t>
      </w:r>
      <w:r>
        <w:rPr>
          <w:rFonts w:cs="Arial"/>
          <w:szCs w:val="24"/>
        </w:rPr>
        <w:t xml:space="preserve">Данные </w:t>
      </w:r>
      <w:r>
        <w:rPr>
          <w:rFonts w:cs="Arial"/>
          <w:szCs w:val="24"/>
        </w:rPr>
        <w:t>по Видам работ</w:t>
      </w:r>
    </w:p>
    <w:p w:rsidR="00EF6FAC" w:rsidRDefault="00A5600F" w:rsidP="00F06C40">
      <w:pPr>
        <w:ind w:firstLine="432"/>
        <w:jc w:val="both"/>
      </w:pPr>
      <w:r>
        <w:t xml:space="preserve">При расчете </w:t>
      </w:r>
      <w:r w:rsidR="00F06C40">
        <w:t xml:space="preserve">Общего </w:t>
      </w:r>
      <w:r>
        <w:t xml:space="preserve">простоя и КТГ учтено время нахождения </w:t>
      </w:r>
      <w:r w:rsidR="00F06C40">
        <w:t xml:space="preserve">оборудования </w:t>
      </w:r>
      <w:r>
        <w:t>в ЕТО, которое по срокам не совпадает с ремонтными воздействиями</w:t>
      </w:r>
      <w:r w:rsidR="00F06C40">
        <w:t xml:space="preserve"> (Рис.6):</w:t>
      </w:r>
    </w:p>
    <w:p w:rsidR="00EF6FAC" w:rsidRPr="00C615AE" w:rsidRDefault="00F06C40" w:rsidP="00A5600F">
      <w:r>
        <w:rPr>
          <w:noProof/>
          <w:lang w:eastAsia="ru-RU"/>
        </w:rPr>
        <w:drawing>
          <wp:inline distT="0" distB="0" distL="0" distR="0">
            <wp:extent cx="6116955" cy="322135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C40" w:rsidRPr="00C07CE6" w:rsidRDefault="00F06C40" w:rsidP="00F06C40">
      <w:pPr>
        <w:jc w:val="center"/>
        <w:rPr>
          <w:szCs w:val="24"/>
        </w:rPr>
      </w:pPr>
      <w:r w:rsidRPr="00030737">
        <w:rPr>
          <w:szCs w:val="24"/>
        </w:rPr>
        <w:t xml:space="preserve">Рис. </w:t>
      </w:r>
      <w:r>
        <w:rPr>
          <w:szCs w:val="24"/>
        </w:rPr>
        <w:t>6</w:t>
      </w:r>
      <w:r w:rsidRPr="00030737">
        <w:rPr>
          <w:szCs w:val="24"/>
        </w:rPr>
        <w:t xml:space="preserve">. </w:t>
      </w:r>
      <w:r>
        <w:rPr>
          <w:szCs w:val="24"/>
        </w:rPr>
        <w:t xml:space="preserve">Поля отчета. </w:t>
      </w:r>
      <w:r>
        <w:rPr>
          <w:rFonts w:cs="Arial"/>
          <w:szCs w:val="24"/>
        </w:rPr>
        <w:t xml:space="preserve">Данные по </w:t>
      </w:r>
      <w:r>
        <w:rPr>
          <w:rFonts w:cs="Arial"/>
          <w:szCs w:val="24"/>
        </w:rPr>
        <w:t>ЕТО и Общему Простою оборудования</w:t>
      </w:r>
    </w:p>
    <w:p w:rsidR="00C247EE" w:rsidRPr="00C247EE" w:rsidRDefault="00C247EE" w:rsidP="00A5600F"/>
    <w:p w:rsidR="000F395B" w:rsidRPr="00110A21" w:rsidRDefault="000F395B" w:rsidP="00A5600F">
      <w:pPr>
        <w:pStyle w:val="1"/>
        <w:tabs>
          <w:tab w:val="clear" w:pos="432"/>
        </w:tabs>
        <w:rPr>
          <w:rFonts w:ascii="Times New Roman" w:eastAsiaTheme="minorHAnsi" w:hAnsi="Times New Roman" w:cs="Times New Roman"/>
          <w:lang w:val="ru-RU" w:eastAsia="en-US"/>
        </w:rPr>
      </w:pPr>
      <w:r>
        <w:rPr>
          <w:rFonts w:ascii="Times New Roman" w:eastAsiaTheme="minorHAnsi" w:hAnsi="Times New Roman" w:cs="Times New Roman"/>
          <w:lang w:val="ru-RU" w:eastAsia="en-US"/>
        </w:rPr>
        <w:lastRenderedPageBreak/>
        <w:t>Выгрузка КТГ по классу и КТГ по парку</w:t>
      </w:r>
    </w:p>
    <w:p w:rsidR="00C02C34" w:rsidRDefault="00110A21" w:rsidP="00A5600F">
      <w:pPr>
        <w:ind w:firstLine="432"/>
        <w:jc w:val="both"/>
      </w:pPr>
      <w:r>
        <w:t xml:space="preserve">Для выгрузки КТГ по классу и КТГ по парку </w:t>
      </w:r>
      <w:r w:rsidR="001B1443">
        <w:t xml:space="preserve">в режиме «Моделирование среднесрочного план-графика» </w:t>
      </w:r>
      <w:r w:rsidR="005A5887">
        <w:t xml:space="preserve">используются </w:t>
      </w:r>
      <w:r w:rsidR="00E155BF">
        <w:t xml:space="preserve">соответствующие </w:t>
      </w:r>
      <w:r w:rsidR="005A5887">
        <w:t>параметры</w:t>
      </w:r>
      <w:r>
        <w:t xml:space="preserve"> </w:t>
      </w:r>
      <w:proofErr w:type="spellStart"/>
      <w:r>
        <w:t>подэкран</w:t>
      </w:r>
      <w:r w:rsidR="005A5887">
        <w:t>а</w:t>
      </w:r>
      <w:proofErr w:type="spellEnd"/>
      <w:r>
        <w:t xml:space="preserve"> «Дополнительный расчёт КТГ» (рис. </w:t>
      </w:r>
      <w:r w:rsidR="00F06C40">
        <w:t>7</w:t>
      </w:r>
      <w:r w:rsidR="001B1443">
        <w:t>):</w:t>
      </w:r>
    </w:p>
    <w:p w:rsidR="00110A21" w:rsidRDefault="005A5887" w:rsidP="00A5600F">
      <w:r>
        <w:rPr>
          <w:noProof/>
          <w:lang w:eastAsia="ru-RU"/>
        </w:rPr>
        <w:drawing>
          <wp:inline distT="0" distB="0" distL="0" distR="0">
            <wp:extent cx="6109855" cy="2067770"/>
            <wp:effectExtent l="0" t="0" r="571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499" cy="207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A21" w:rsidRPr="00030737" w:rsidRDefault="00110A21" w:rsidP="00A5600F">
      <w:pPr>
        <w:jc w:val="center"/>
        <w:rPr>
          <w:szCs w:val="24"/>
        </w:rPr>
      </w:pPr>
      <w:r w:rsidRPr="00030737">
        <w:rPr>
          <w:szCs w:val="24"/>
        </w:rPr>
        <w:t xml:space="preserve">Рис. </w:t>
      </w:r>
      <w:r w:rsidR="00F06C40">
        <w:rPr>
          <w:szCs w:val="24"/>
        </w:rPr>
        <w:t>7</w:t>
      </w:r>
      <w:r w:rsidRPr="00030737">
        <w:rPr>
          <w:szCs w:val="24"/>
        </w:rPr>
        <w:t xml:space="preserve">. </w:t>
      </w:r>
      <w:proofErr w:type="spellStart"/>
      <w:r w:rsidRPr="00030737">
        <w:rPr>
          <w:szCs w:val="24"/>
        </w:rPr>
        <w:t>Подэкран</w:t>
      </w:r>
      <w:proofErr w:type="spellEnd"/>
      <w:r w:rsidRPr="00030737">
        <w:rPr>
          <w:szCs w:val="24"/>
        </w:rPr>
        <w:t xml:space="preserve"> «Дополнительный расчёт КТГ»</w:t>
      </w:r>
      <w:r w:rsidR="00E155BF">
        <w:rPr>
          <w:szCs w:val="24"/>
        </w:rPr>
        <w:t>. КТГ по классу и парку</w:t>
      </w:r>
    </w:p>
    <w:p w:rsidR="00110A21" w:rsidRDefault="00110A21" w:rsidP="00A5600F">
      <w:pPr>
        <w:pStyle w:val="a7"/>
        <w:numPr>
          <w:ilvl w:val="0"/>
          <w:numId w:val="2"/>
        </w:numPr>
        <w:jc w:val="both"/>
        <w:rPr>
          <w:rFonts w:ascii="Arial" w:hAnsi="Arial" w:cs="Arial"/>
        </w:rPr>
      </w:pPr>
      <w:r w:rsidRPr="00110A21">
        <w:rPr>
          <w:rFonts w:ascii="Arial" w:hAnsi="Arial" w:cs="Arial"/>
        </w:rPr>
        <w:t xml:space="preserve">«КТГ по классу» - режим формирования строк с тип </w:t>
      </w:r>
      <w:r w:rsidR="00C07CE6">
        <w:rPr>
          <w:rFonts w:ascii="Arial" w:hAnsi="Arial" w:cs="Arial"/>
        </w:rPr>
        <w:t>«0</w:t>
      </w:r>
      <w:r w:rsidRPr="00110A21">
        <w:rPr>
          <w:rFonts w:ascii="Arial" w:hAnsi="Arial" w:cs="Arial"/>
        </w:rPr>
        <w:t>С – КТГ по классу</w:t>
      </w:r>
      <w:r w:rsidR="00C07CE6">
        <w:rPr>
          <w:rFonts w:ascii="Arial" w:hAnsi="Arial" w:cs="Arial"/>
        </w:rPr>
        <w:t>»</w:t>
      </w:r>
      <w:r w:rsidRPr="00110A21">
        <w:rPr>
          <w:rFonts w:ascii="Arial" w:hAnsi="Arial" w:cs="Arial"/>
        </w:rPr>
        <w:t xml:space="preserve">. В этом режиме единицы оборудования </w:t>
      </w:r>
      <w:r>
        <w:rPr>
          <w:rFonts w:ascii="Arial" w:hAnsi="Arial" w:cs="Arial"/>
        </w:rPr>
        <w:t xml:space="preserve">с одинаковым классом объединяются в строки с типом </w:t>
      </w:r>
      <w:r w:rsidR="00C07CE6">
        <w:rPr>
          <w:rFonts w:ascii="Arial" w:hAnsi="Arial" w:cs="Arial"/>
        </w:rPr>
        <w:t>«0</w:t>
      </w:r>
      <w:r>
        <w:rPr>
          <w:rFonts w:ascii="Arial" w:hAnsi="Arial" w:cs="Arial"/>
        </w:rPr>
        <w:t>С</w:t>
      </w:r>
      <w:r w:rsidR="00C07CE6">
        <w:rPr>
          <w:rFonts w:ascii="Arial" w:hAnsi="Arial" w:cs="Arial"/>
        </w:rPr>
        <w:t>»</w:t>
      </w:r>
      <w:r>
        <w:rPr>
          <w:rFonts w:ascii="Arial" w:hAnsi="Arial" w:cs="Arial"/>
        </w:rPr>
        <w:t>. Расчёт простоев и КТГ для таких строк производится для группы оборудования, попавшей в эту строку;</w:t>
      </w:r>
    </w:p>
    <w:p w:rsidR="00110A21" w:rsidRDefault="00110A21" w:rsidP="00A5600F">
      <w:pPr>
        <w:pStyle w:val="a7"/>
        <w:numPr>
          <w:ilvl w:val="0"/>
          <w:numId w:val="2"/>
        </w:numPr>
        <w:jc w:val="both"/>
        <w:rPr>
          <w:rFonts w:ascii="Arial" w:hAnsi="Arial" w:cs="Arial"/>
        </w:rPr>
      </w:pPr>
      <w:r w:rsidRPr="00110A21">
        <w:rPr>
          <w:rFonts w:ascii="Arial" w:hAnsi="Arial" w:cs="Arial"/>
        </w:rPr>
        <w:t xml:space="preserve">«КТГ по </w:t>
      </w:r>
      <w:r>
        <w:rPr>
          <w:rFonts w:ascii="Arial" w:hAnsi="Arial" w:cs="Arial"/>
        </w:rPr>
        <w:t>парку</w:t>
      </w:r>
      <w:r w:rsidRPr="00110A21">
        <w:rPr>
          <w:rFonts w:ascii="Arial" w:hAnsi="Arial" w:cs="Arial"/>
        </w:rPr>
        <w:t xml:space="preserve">» - </w:t>
      </w:r>
      <w:r w:rsidR="00C07CE6">
        <w:rPr>
          <w:rFonts w:ascii="Arial" w:hAnsi="Arial" w:cs="Arial"/>
        </w:rPr>
        <w:t>режим формирования строк с тип «0</w:t>
      </w:r>
      <w:r>
        <w:rPr>
          <w:rFonts w:ascii="Arial" w:hAnsi="Arial" w:cs="Arial"/>
          <w:lang w:val="en-US"/>
        </w:rPr>
        <w:t>P</w:t>
      </w:r>
      <w:r w:rsidRPr="00110A21">
        <w:rPr>
          <w:rFonts w:ascii="Arial" w:hAnsi="Arial" w:cs="Arial"/>
        </w:rPr>
        <w:t xml:space="preserve"> – КТГ </w:t>
      </w:r>
      <w:r>
        <w:rPr>
          <w:rFonts w:ascii="Arial" w:hAnsi="Arial" w:cs="Arial"/>
        </w:rPr>
        <w:t>по парку</w:t>
      </w:r>
      <w:r w:rsidR="00C07CE6">
        <w:rPr>
          <w:rFonts w:ascii="Arial" w:hAnsi="Arial" w:cs="Arial"/>
        </w:rPr>
        <w:t>»</w:t>
      </w:r>
      <w:r w:rsidRPr="00110A21">
        <w:rPr>
          <w:rFonts w:ascii="Arial" w:hAnsi="Arial" w:cs="Arial"/>
        </w:rPr>
        <w:t xml:space="preserve">. В этом режиме единицы оборудования </w:t>
      </w:r>
      <w:r>
        <w:rPr>
          <w:rFonts w:ascii="Arial" w:hAnsi="Arial" w:cs="Arial"/>
        </w:rPr>
        <w:t xml:space="preserve">с одинаковым типом конструкции </w:t>
      </w:r>
      <w:r w:rsidR="00C07CE6">
        <w:rPr>
          <w:rFonts w:ascii="Arial" w:hAnsi="Arial" w:cs="Arial"/>
        </w:rPr>
        <w:t xml:space="preserve">(одинаковой моделью) </w:t>
      </w:r>
      <w:r>
        <w:rPr>
          <w:rFonts w:ascii="Arial" w:hAnsi="Arial" w:cs="Arial"/>
        </w:rPr>
        <w:t xml:space="preserve">объединяются в строки с типом </w:t>
      </w:r>
      <w:r w:rsidR="00C07CE6">
        <w:rPr>
          <w:rFonts w:ascii="Arial" w:hAnsi="Arial" w:cs="Arial"/>
        </w:rPr>
        <w:t>«0</w:t>
      </w:r>
      <w:r>
        <w:rPr>
          <w:rFonts w:ascii="Arial" w:hAnsi="Arial" w:cs="Arial"/>
          <w:lang w:val="en-US"/>
        </w:rPr>
        <w:t>P</w:t>
      </w:r>
      <w:r w:rsidR="00C07CE6">
        <w:rPr>
          <w:rFonts w:ascii="Arial" w:hAnsi="Arial" w:cs="Arial"/>
        </w:rPr>
        <w:t>»</w:t>
      </w:r>
      <w:r>
        <w:rPr>
          <w:rFonts w:ascii="Arial" w:hAnsi="Arial" w:cs="Arial"/>
        </w:rPr>
        <w:t>. Расчёт простоев и КТГ для таких строк производится для группы оборудования, попавшей в эту строку;</w:t>
      </w:r>
    </w:p>
    <w:p w:rsidR="001C3C68" w:rsidRPr="005A5887" w:rsidRDefault="001C3C68" w:rsidP="00A5600F">
      <w:pPr>
        <w:ind w:firstLine="432"/>
        <w:jc w:val="both"/>
      </w:pPr>
      <w:r w:rsidRPr="005A5887">
        <w:t xml:space="preserve">При выгрузке отчёта с включённым режимом «КТГ по классу» или «КТГ по парку» </w:t>
      </w:r>
      <w:r w:rsidR="00493969" w:rsidRPr="005A5887">
        <w:t xml:space="preserve">в отчет выводятся дополнительные </w:t>
      </w:r>
      <w:r w:rsidRPr="005A5887">
        <w:t>обобщённы</w:t>
      </w:r>
      <w:r w:rsidR="00493969" w:rsidRPr="005A5887">
        <w:t>е</w:t>
      </w:r>
      <w:r w:rsidRPr="005A5887">
        <w:t xml:space="preserve"> строками, которые «схлопывают» внутри себя единицы оборудования с одинаковым классом или типом конструкции (рис. </w:t>
      </w:r>
      <w:r w:rsidR="00F06C40">
        <w:t>8</w:t>
      </w:r>
      <w:r w:rsidR="00493969" w:rsidRPr="005A5887">
        <w:t>):</w:t>
      </w:r>
    </w:p>
    <w:p w:rsidR="001C3C68" w:rsidRDefault="00C36AED" w:rsidP="00A5600F">
      <w:pPr>
        <w:jc w:val="both"/>
        <w:rPr>
          <w:rFonts w:cs="Arial"/>
        </w:rPr>
      </w:pPr>
      <w:r>
        <w:rPr>
          <w:rFonts w:cs="Arial"/>
          <w:noProof/>
          <w:lang w:eastAsia="ru-RU"/>
        </w:rPr>
        <w:drawing>
          <wp:inline distT="0" distB="0" distL="0" distR="0">
            <wp:extent cx="6124401" cy="2315730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348" cy="234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C68" w:rsidRPr="00030737" w:rsidRDefault="001C3C68" w:rsidP="00A5600F">
      <w:pPr>
        <w:jc w:val="center"/>
        <w:rPr>
          <w:rFonts w:cs="Arial"/>
          <w:szCs w:val="24"/>
        </w:rPr>
      </w:pPr>
      <w:r w:rsidRPr="00030737">
        <w:rPr>
          <w:rFonts w:cs="Arial"/>
          <w:szCs w:val="24"/>
        </w:rPr>
        <w:lastRenderedPageBreak/>
        <w:t xml:space="preserve">Рис. </w:t>
      </w:r>
      <w:r w:rsidR="00F06C40">
        <w:rPr>
          <w:rFonts w:cs="Arial"/>
          <w:szCs w:val="24"/>
        </w:rPr>
        <w:t>8</w:t>
      </w:r>
      <w:r w:rsidRPr="00030737">
        <w:rPr>
          <w:rFonts w:cs="Arial"/>
          <w:szCs w:val="24"/>
        </w:rPr>
        <w:t xml:space="preserve">. </w:t>
      </w:r>
      <w:r w:rsidR="00493969">
        <w:rPr>
          <w:rFonts w:cs="Arial"/>
          <w:szCs w:val="24"/>
        </w:rPr>
        <w:t xml:space="preserve">Отчёт со строками </w:t>
      </w:r>
      <w:r w:rsidRPr="00030737">
        <w:rPr>
          <w:rFonts w:cs="Arial"/>
          <w:szCs w:val="24"/>
        </w:rPr>
        <w:t>«КТГ по классу» и «КТГ по парку»</w:t>
      </w:r>
    </w:p>
    <w:p w:rsidR="001C3C68" w:rsidRDefault="00D05C16" w:rsidP="00A5600F">
      <w:pPr>
        <w:ind w:firstLine="432"/>
        <w:jc w:val="both"/>
      </w:pPr>
      <w:r w:rsidRPr="00C615AE">
        <w:tab/>
      </w:r>
      <w:r>
        <w:t>Для более удобной работы со списком необходимо добавить в первые столбы таблицы следующие поля:</w:t>
      </w:r>
    </w:p>
    <w:p w:rsidR="00D05C16" w:rsidRPr="00D05C16" w:rsidRDefault="00D05C16" w:rsidP="00A5600F">
      <w:pPr>
        <w:pStyle w:val="a7"/>
        <w:numPr>
          <w:ilvl w:val="0"/>
          <w:numId w:val="2"/>
        </w:numPr>
        <w:ind w:left="1134"/>
        <w:jc w:val="both"/>
        <w:rPr>
          <w:rFonts w:ascii="Arial" w:hAnsi="Arial" w:cs="Arial"/>
        </w:rPr>
      </w:pPr>
      <w:r w:rsidRPr="00D05C16">
        <w:rPr>
          <w:rFonts w:ascii="Arial" w:hAnsi="Arial" w:cs="Arial"/>
        </w:rPr>
        <w:t>Номер ЕО;</w:t>
      </w:r>
    </w:p>
    <w:p w:rsidR="00D05C16" w:rsidRPr="00D05C16" w:rsidRDefault="00D05C16" w:rsidP="00A5600F">
      <w:pPr>
        <w:pStyle w:val="a7"/>
        <w:numPr>
          <w:ilvl w:val="0"/>
          <w:numId w:val="2"/>
        </w:numPr>
        <w:ind w:left="1134"/>
        <w:jc w:val="both"/>
        <w:rPr>
          <w:rFonts w:ascii="Arial" w:hAnsi="Arial" w:cs="Arial"/>
        </w:rPr>
      </w:pPr>
      <w:r w:rsidRPr="00D05C16">
        <w:rPr>
          <w:rFonts w:ascii="Arial" w:hAnsi="Arial" w:cs="Arial"/>
        </w:rPr>
        <w:t>Номер класса;</w:t>
      </w:r>
    </w:p>
    <w:p w:rsidR="00D05C16" w:rsidRPr="00D05C16" w:rsidRDefault="00D05C16" w:rsidP="00A5600F">
      <w:pPr>
        <w:pStyle w:val="a7"/>
        <w:numPr>
          <w:ilvl w:val="0"/>
          <w:numId w:val="2"/>
        </w:numPr>
        <w:ind w:left="1134"/>
        <w:jc w:val="both"/>
        <w:rPr>
          <w:rFonts w:ascii="Arial" w:hAnsi="Arial" w:cs="Arial"/>
        </w:rPr>
      </w:pPr>
      <w:r w:rsidRPr="00D05C16">
        <w:rPr>
          <w:rFonts w:ascii="Arial" w:hAnsi="Arial" w:cs="Arial"/>
        </w:rPr>
        <w:t>Модель оборудования.</w:t>
      </w:r>
    </w:p>
    <w:p w:rsidR="00D05C16" w:rsidRDefault="00D05C16" w:rsidP="00A5600F">
      <w:pPr>
        <w:ind w:firstLine="432"/>
        <w:jc w:val="both"/>
      </w:pPr>
      <w:r>
        <w:t xml:space="preserve">Далее по порядку выделить столбцы с зажатой клавишей </w:t>
      </w:r>
      <w:r w:rsidRPr="005A5887">
        <w:t>Ctrl</w:t>
      </w:r>
      <w:r>
        <w:t xml:space="preserve">: Номер класса – Модель оборудования – Номер ЕО. Тогда записи выстраиваются в удобном виде: сначала общая строка «КТГ по классу», затем общая строка «КТГ по парку», затем список ЕО, входящих в этот парк, затем следующий парк, входящий в этот класс (рис. </w:t>
      </w:r>
      <w:r w:rsidR="00F06C40">
        <w:t>9</w:t>
      </w:r>
      <w:r>
        <w:t>).</w:t>
      </w:r>
    </w:p>
    <w:p w:rsidR="00D05C16" w:rsidRDefault="005A5887" w:rsidP="00A5600F">
      <w:pPr>
        <w:jc w:val="both"/>
      </w:pPr>
      <w:r>
        <w:rPr>
          <w:noProof/>
          <w:lang w:eastAsia="ru-RU"/>
        </w:rPr>
        <w:drawing>
          <wp:inline distT="0" distB="0" distL="0" distR="0">
            <wp:extent cx="6109855" cy="2976411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687" cy="2983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C16" w:rsidRPr="00030737" w:rsidRDefault="00D05C16" w:rsidP="00A5600F">
      <w:pPr>
        <w:jc w:val="center"/>
        <w:rPr>
          <w:rFonts w:cs="Arial"/>
          <w:szCs w:val="24"/>
        </w:rPr>
      </w:pPr>
      <w:r w:rsidRPr="00030737">
        <w:rPr>
          <w:rFonts w:cs="Arial"/>
          <w:szCs w:val="24"/>
        </w:rPr>
        <w:t xml:space="preserve">Рис. </w:t>
      </w:r>
      <w:r w:rsidR="00F06C40">
        <w:rPr>
          <w:rFonts w:cs="Arial"/>
          <w:szCs w:val="24"/>
        </w:rPr>
        <w:t>9</w:t>
      </w:r>
      <w:r w:rsidRPr="00030737">
        <w:rPr>
          <w:rFonts w:cs="Arial"/>
          <w:szCs w:val="24"/>
        </w:rPr>
        <w:t xml:space="preserve">. Отформатированный </w:t>
      </w:r>
      <w:r w:rsidR="005A5887">
        <w:rPr>
          <w:rFonts w:cs="Arial"/>
          <w:szCs w:val="24"/>
        </w:rPr>
        <w:t>отчет</w:t>
      </w:r>
      <w:r w:rsidRPr="00030737">
        <w:rPr>
          <w:rFonts w:cs="Arial"/>
          <w:szCs w:val="24"/>
        </w:rPr>
        <w:t xml:space="preserve"> со строками «КТГ по классу» и «КТГ по парку»</w:t>
      </w:r>
    </w:p>
    <w:p w:rsidR="00D05C16" w:rsidRDefault="00D05C16" w:rsidP="00A5600F">
      <w:pPr>
        <w:ind w:firstLine="432"/>
        <w:jc w:val="both"/>
      </w:pPr>
      <w:r>
        <w:t xml:space="preserve">В столбцах, где указаны значения простоя и КТГ, в общих строках </w:t>
      </w:r>
      <w:r w:rsidRPr="00D05C16">
        <w:t>«КТГ по классу» и «КТГ по парку»</w:t>
      </w:r>
      <w:r>
        <w:t xml:space="preserve"> представлены значения сумм простоев ЕО, входящих в группу, а КТГ рассчитывается по формуле: (</w:t>
      </w:r>
      <w:r w:rsidRPr="00D05C16">
        <w:t>‘</w:t>
      </w:r>
      <w:proofErr w:type="spellStart"/>
      <w:r>
        <w:t>Cумма</w:t>
      </w:r>
      <w:proofErr w:type="spellEnd"/>
      <w:r>
        <w:t xml:space="preserve"> </w:t>
      </w:r>
      <w:proofErr w:type="spellStart"/>
      <w:r>
        <w:t>КФВя</w:t>
      </w:r>
      <w:proofErr w:type="spellEnd"/>
      <w:r>
        <w:t xml:space="preserve"> группы ЕО</w:t>
      </w:r>
      <w:r w:rsidRPr="00D05C16">
        <w:t>’ – ‘</w:t>
      </w:r>
      <w:r>
        <w:t>Сумма простоев группы ЕО</w:t>
      </w:r>
      <w:r w:rsidRPr="00D05C16">
        <w:t>’</w:t>
      </w:r>
      <w:r>
        <w:t>) /</w:t>
      </w:r>
      <w:r w:rsidRPr="00D05C16">
        <w:t xml:space="preserve"> </w:t>
      </w:r>
      <w:r>
        <w:t>(</w:t>
      </w:r>
      <w:r w:rsidRPr="00D05C16">
        <w:t>‘</w:t>
      </w:r>
      <w:proofErr w:type="spellStart"/>
      <w:r>
        <w:t>Cумма</w:t>
      </w:r>
      <w:proofErr w:type="spellEnd"/>
      <w:r>
        <w:t xml:space="preserve"> </w:t>
      </w:r>
      <w:proofErr w:type="spellStart"/>
      <w:r>
        <w:t>КФВя</w:t>
      </w:r>
      <w:proofErr w:type="spellEnd"/>
      <w:r>
        <w:t xml:space="preserve"> группы ЕО</w:t>
      </w:r>
      <w:r w:rsidRPr="00D05C16">
        <w:t>’</w:t>
      </w:r>
      <w:r w:rsidR="005A5887">
        <w:t>)</w:t>
      </w:r>
      <w:r>
        <w:t>.</w:t>
      </w:r>
    </w:p>
    <w:p w:rsidR="008C6DBB" w:rsidRDefault="00B33A12" w:rsidP="00A5600F">
      <w:pPr>
        <w:pStyle w:val="1"/>
        <w:tabs>
          <w:tab w:val="clear" w:pos="432"/>
        </w:tabs>
        <w:rPr>
          <w:rFonts w:ascii="Times New Roman" w:eastAsiaTheme="minorHAnsi" w:hAnsi="Times New Roman" w:cs="Times New Roman"/>
          <w:lang w:val="ru-RU" w:eastAsia="en-US"/>
        </w:rPr>
      </w:pPr>
      <w:r>
        <w:rPr>
          <w:rFonts w:ascii="Times New Roman" w:eastAsiaTheme="minorHAnsi" w:hAnsi="Times New Roman" w:cs="Times New Roman"/>
          <w:lang w:val="ru-RU" w:eastAsia="en-US"/>
        </w:rPr>
        <w:lastRenderedPageBreak/>
        <w:t xml:space="preserve">Расчет КТГ </w:t>
      </w:r>
      <w:r w:rsidR="00C247EE">
        <w:rPr>
          <w:rFonts w:ascii="Times New Roman" w:eastAsiaTheme="minorHAnsi" w:hAnsi="Times New Roman" w:cs="Times New Roman"/>
          <w:lang w:val="ru-RU" w:eastAsia="en-US"/>
        </w:rPr>
        <w:t xml:space="preserve">и простоев </w:t>
      </w:r>
      <w:r>
        <w:rPr>
          <w:rFonts w:ascii="Times New Roman" w:eastAsiaTheme="minorHAnsi" w:hAnsi="Times New Roman" w:cs="Times New Roman"/>
          <w:lang w:val="ru-RU" w:eastAsia="en-US"/>
        </w:rPr>
        <w:t>с учетом заказов</w:t>
      </w:r>
    </w:p>
    <w:p w:rsidR="005A5887" w:rsidRDefault="00E155BF" w:rsidP="00A5600F">
      <w:pPr>
        <w:ind w:firstLine="432"/>
        <w:jc w:val="both"/>
      </w:pPr>
      <w:r>
        <w:t xml:space="preserve">Для расчета КТГ и простоев с учетом уже отозванных заказов ТОРО </w:t>
      </w:r>
      <w:r w:rsidR="005A5887">
        <w:t>в режиме «Моделирование среднесрочного план-графика» использу</w:t>
      </w:r>
      <w:r>
        <w:t>е</w:t>
      </w:r>
      <w:r w:rsidR="005A5887">
        <w:t>тся параметр</w:t>
      </w:r>
      <w:r>
        <w:t xml:space="preserve"> «Расчетный КТГ с учетом заказов»</w:t>
      </w:r>
      <w:r w:rsidR="005A5887">
        <w:t xml:space="preserve"> </w:t>
      </w:r>
      <w:proofErr w:type="spellStart"/>
      <w:r w:rsidR="005A5887">
        <w:t>подэкрана</w:t>
      </w:r>
      <w:proofErr w:type="spellEnd"/>
      <w:r w:rsidR="005A5887">
        <w:t xml:space="preserve"> «Дополнительный расчёт КТГ» (рис. </w:t>
      </w:r>
      <w:r w:rsidR="00F06C40">
        <w:t>10</w:t>
      </w:r>
      <w:r w:rsidR="005A5887">
        <w:t>):</w:t>
      </w:r>
    </w:p>
    <w:p w:rsidR="005A5887" w:rsidRDefault="00E155BF" w:rsidP="00A5600F">
      <w:r>
        <w:rPr>
          <w:noProof/>
          <w:lang w:eastAsia="ru-RU"/>
        </w:rPr>
        <w:drawing>
          <wp:inline distT="0" distB="0" distL="0" distR="0">
            <wp:extent cx="6099682" cy="206432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630" cy="2066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887" w:rsidRPr="00030737" w:rsidRDefault="005A5887" w:rsidP="00A5600F">
      <w:pPr>
        <w:jc w:val="center"/>
        <w:rPr>
          <w:szCs w:val="24"/>
        </w:rPr>
      </w:pPr>
      <w:r w:rsidRPr="00030737">
        <w:rPr>
          <w:szCs w:val="24"/>
        </w:rPr>
        <w:t xml:space="preserve">Рис. </w:t>
      </w:r>
      <w:r w:rsidR="00F06C40">
        <w:rPr>
          <w:szCs w:val="24"/>
        </w:rPr>
        <w:t>10</w:t>
      </w:r>
      <w:r w:rsidRPr="00030737">
        <w:rPr>
          <w:szCs w:val="24"/>
        </w:rPr>
        <w:t xml:space="preserve">. </w:t>
      </w:r>
      <w:proofErr w:type="spellStart"/>
      <w:r w:rsidRPr="00030737">
        <w:rPr>
          <w:szCs w:val="24"/>
        </w:rPr>
        <w:t>Подэкран</w:t>
      </w:r>
      <w:proofErr w:type="spellEnd"/>
      <w:r w:rsidRPr="00030737">
        <w:rPr>
          <w:szCs w:val="24"/>
        </w:rPr>
        <w:t xml:space="preserve"> «Дополнительный расчёт КТГ»</w:t>
      </w:r>
    </w:p>
    <w:p w:rsidR="00D7371C" w:rsidRPr="005A5887" w:rsidRDefault="00D7371C" w:rsidP="00A5600F">
      <w:pPr>
        <w:ind w:firstLine="432"/>
        <w:jc w:val="both"/>
      </w:pPr>
      <w:r w:rsidRPr="005A5887">
        <w:t xml:space="preserve">При выгрузке отчёта с включённым </w:t>
      </w:r>
      <w:r>
        <w:t>параметром «Расчетный КТГ с учетом заказов»</w:t>
      </w:r>
      <w:r w:rsidRPr="005A5887">
        <w:t xml:space="preserve"> в отчет</w:t>
      </w:r>
      <w:r>
        <w:t>е</w:t>
      </w:r>
      <w:r w:rsidRPr="005A5887">
        <w:t xml:space="preserve"> </w:t>
      </w:r>
      <w:r>
        <w:t xml:space="preserve">выполняется расчет простоев и КТГ с учетом состояния позиции графика. Если по позиции еще не был создан заказ, то в расчет берется плановый простой из заголовка плана ППР. Если для позиции уже отозван заказа ТОРО, то при расчете простоя учитываются сроки заказа ТОРО </w:t>
      </w:r>
      <w:r w:rsidRPr="005A5887">
        <w:t xml:space="preserve">(рис. </w:t>
      </w:r>
      <w:r>
        <w:t>1</w:t>
      </w:r>
      <w:r w:rsidR="00F06C40">
        <w:t>1</w:t>
      </w:r>
      <w:r w:rsidRPr="005A5887">
        <w:t>):</w:t>
      </w:r>
    </w:p>
    <w:p w:rsidR="00D7371C" w:rsidRDefault="00D7371C" w:rsidP="00A5600F">
      <w:r>
        <w:rPr>
          <w:noProof/>
          <w:lang w:eastAsia="ru-RU"/>
        </w:rPr>
        <w:drawing>
          <wp:inline distT="0" distB="0" distL="0" distR="0">
            <wp:extent cx="6109855" cy="2644837"/>
            <wp:effectExtent l="0" t="0" r="571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856" cy="2666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00F" w:rsidRPr="00030737" w:rsidRDefault="00A5600F" w:rsidP="00A5600F">
      <w:pPr>
        <w:jc w:val="center"/>
        <w:rPr>
          <w:szCs w:val="24"/>
        </w:rPr>
      </w:pPr>
      <w:r w:rsidRPr="00030737">
        <w:rPr>
          <w:szCs w:val="24"/>
        </w:rPr>
        <w:t xml:space="preserve">Рис. </w:t>
      </w:r>
      <w:r>
        <w:rPr>
          <w:szCs w:val="24"/>
        </w:rPr>
        <w:t>1</w:t>
      </w:r>
      <w:r w:rsidR="00F06C40">
        <w:rPr>
          <w:szCs w:val="24"/>
        </w:rPr>
        <w:t>1</w:t>
      </w:r>
      <w:r w:rsidRPr="00030737">
        <w:rPr>
          <w:szCs w:val="24"/>
        </w:rPr>
        <w:t xml:space="preserve">. </w:t>
      </w:r>
      <w:r>
        <w:rPr>
          <w:szCs w:val="24"/>
        </w:rPr>
        <w:t>Анализ данных простоя и КТГ с учетом заказов</w:t>
      </w:r>
    </w:p>
    <w:p w:rsidR="00A5600F" w:rsidRPr="005A5887" w:rsidRDefault="00A5600F" w:rsidP="005A5887">
      <w:bookmarkStart w:id="0" w:name="_GoBack"/>
      <w:bookmarkEnd w:id="0"/>
    </w:p>
    <w:sectPr w:rsidR="00A5600F" w:rsidRPr="005A5887" w:rsidSect="00A5600F">
      <w:headerReference w:type="default" r:id="rId18"/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0F50" w:rsidRDefault="00AA0F50" w:rsidP="00251079">
      <w:pPr>
        <w:spacing w:after="0" w:line="240" w:lineRule="auto"/>
      </w:pPr>
      <w:r>
        <w:separator/>
      </w:r>
    </w:p>
  </w:endnote>
  <w:endnote w:type="continuationSeparator" w:id="0">
    <w:p w:rsidR="00AA0F50" w:rsidRDefault="00AA0F50" w:rsidP="00251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0F50" w:rsidRDefault="00AA0F50" w:rsidP="00251079">
      <w:pPr>
        <w:spacing w:after="0" w:line="240" w:lineRule="auto"/>
      </w:pPr>
      <w:r>
        <w:separator/>
      </w:r>
    </w:p>
  </w:footnote>
  <w:footnote w:type="continuationSeparator" w:id="0">
    <w:p w:rsidR="00AA0F50" w:rsidRDefault="00AA0F50" w:rsidP="002510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251079" w:rsidTr="009C6E65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251079" w:rsidRDefault="00251079" w:rsidP="00251079">
          <w:pPr>
            <w:pStyle w:val="a3"/>
            <w:ind w:left="-241" w:hanging="1"/>
            <w:rPr>
              <w:b/>
              <w:bCs/>
            </w:rPr>
          </w:pPr>
          <w:r>
            <w:rPr>
              <w:b/>
              <w:noProof/>
              <w:lang w:eastAsia="ru-RU"/>
            </w:rPr>
            <w:drawing>
              <wp:inline distT="0" distB="0" distL="0" distR="0" wp14:anchorId="1E5FD431" wp14:editId="5D5C199D">
                <wp:extent cx="2241550" cy="508000"/>
                <wp:effectExtent l="0" t="0" r="6350" b="6350"/>
                <wp:docPr id="3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251079" w:rsidRPr="00D76201" w:rsidRDefault="00251079" w:rsidP="000F395B">
          <w:pPr>
            <w:jc w:val="center"/>
          </w:pPr>
          <w:r>
            <w:rPr>
              <w:rFonts w:eastAsia="Calibri"/>
              <w:b/>
              <w:bCs/>
              <w:szCs w:val="24"/>
            </w:rPr>
            <w:t>Памятка пользователя «</w:t>
          </w:r>
          <w:r w:rsidR="007C4EB9">
            <w:rPr>
              <w:rFonts w:eastAsia="Calibri"/>
              <w:b/>
              <w:bCs/>
              <w:szCs w:val="24"/>
            </w:rPr>
            <w:t>АРМ планировщика ТОиР</w:t>
          </w:r>
          <w:r>
            <w:rPr>
              <w:rFonts w:eastAsia="Calibri"/>
              <w:b/>
              <w:bCs/>
              <w:szCs w:val="24"/>
            </w:rPr>
            <w:t>»</w:t>
          </w:r>
          <w:r w:rsidR="007C4EB9">
            <w:rPr>
              <w:rFonts w:eastAsia="Calibri"/>
              <w:b/>
              <w:bCs/>
              <w:szCs w:val="24"/>
            </w:rPr>
            <w:t xml:space="preserve">. </w:t>
          </w:r>
          <w:r w:rsidR="000F395B">
            <w:rPr>
              <w:rFonts w:eastAsia="Calibri"/>
              <w:b/>
              <w:bCs/>
              <w:szCs w:val="24"/>
            </w:rPr>
            <w:t>Моделирование среднесрочного план-графика</w:t>
          </w:r>
        </w:p>
      </w:tc>
    </w:tr>
    <w:tr w:rsidR="00251079" w:rsidRPr="00DB4B2F" w:rsidTr="009C6E65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251079" w:rsidRDefault="00251079" w:rsidP="00251079">
          <w:pPr>
            <w:pStyle w:val="a3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251079" w:rsidRPr="000B5B67" w:rsidRDefault="00251079" w:rsidP="00251079">
          <w:pPr>
            <w:jc w:val="center"/>
            <w:rPr>
              <w:b/>
              <w:bCs/>
            </w:rPr>
          </w:pPr>
        </w:p>
      </w:tc>
    </w:tr>
  </w:tbl>
  <w:p w:rsidR="00251079" w:rsidRDefault="0025107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EE18C3"/>
    <w:multiLevelType w:val="hybridMultilevel"/>
    <w:tmpl w:val="4DF640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8709F"/>
    <w:multiLevelType w:val="hybridMultilevel"/>
    <w:tmpl w:val="CC405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B00FF"/>
    <w:multiLevelType w:val="hybridMultilevel"/>
    <w:tmpl w:val="AF2A8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96B64"/>
    <w:multiLevelType w:val="hybridMultilevel"/>
    <w:tmpl w:val="428202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1F153F"/>
    <w:multiLevelType w:val="hybridMultilevel"/>
    <w:tmpl w:val="2ABAB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B03DB1"/>
    <w:multiLevelType w:val="hybridMultilevel"/>
    <w:tmpl w:val="6568DA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3576B9"/>
    <w:multiLevelType w:val="hybridMultilevel"/>
    <w:tmpl w:val="BE3CBDA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D31A8D"/>
    <w:multiLevelType w:val="hybridMultilevel"/>
    <w:tmpl w:val="8EB8C25C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714B27AF"/>
    <w:multiLevelType w:val="hybridMultilevel"/>
    <w:tmpl w:val="309AD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7C4C20"/>
    <w:multiLevelType w:val="multilevel"/>
    <w:tmpl w:val="8F5A0E08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4"/>
  </w:num>
  <w:num w:numId="7">
    <w:abstractNumId w:val="9"/>
  </w:num>
  <w:num w:numId="8">
    <w:abstractNumId w:val="5"/>
  </w:num>
  <w:num w:numId="9">
    <w:abstractNumId w:val="6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079"/>
    <w:rsid w:val="00030737"/>
    <w:rsid w:val="00052D7E"/>
    <w:rsid w:val="000E2124"/>
    <w:rsid w:val="000F395B"/>
    <w:rsid w:val="00110A21"/>
    <w:rsid w:val="001B1443"/>
    <w:rsid w:val="001C3C68"/>
    <w:rsid w:val="00251079"/>
    <w:rsid w:val="002E14A2"/>
    <w:rsid w:val="00322777"/>
    <w:rsid w:val="00493969"/>
    <w:rsid w:val="005267E5"/>
    <w:rsid w:val="005A5887"/>
    <w:rsid w:val="005A614B"/>
    <w:rsid w:val="00652473"/>
    <w:rsid w:val="00721AE2"/>
    <w:rsid w:val="00746BCC"/>
    <w:rsid w:val="007B745C"/>
    <w:rsid w:val="007C49D2"/>
    <w:rsid w:val="007C4EB9"/>
    <w:rsid w:val="008C6DBB"/>
    <w:rsid w:val="008D1B36"/>
    <w:rsid w:val="008F770F"/>
    <w:rsid w:val="00A5600F"/>
    <w:rsid w:val="00AA0F50"/>
    <w:rsid w:val="00AB1BD9"/>
    <w:rsid w:val="00B33A12"/>
    <w:rsid w:val="00C07CE6"/>
    <w:rsid w:val="00C247EE"/>
    <w:rsid w:val="00C3381A"/>
    <w:rsid w:val="00C36AED"/>
    <w:rsid w:val="00C615AE"/>
    <w:rsid w:val="00CC0CC4"/>
    <w:rsid w:val="00D05C16"/>
    <w:rsid w:val="00D22857"/>
    <w:rsid w:val="00D7371C"/>
    <w:rsid w:val="00E155BF"/>
    <w:rsid w:val="00E66FE4"/>
    <w:rsid w:val="00EE39D9"/>
    <w:rsid w:val="00EF6FAC"/>
    <w:rsid w:val="00F0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2CE0F"/>
  <w15:chartTrackingRefBased/>
  <w15:docId w15:val="{D442D2A4-2409-4770-828B-110CD4CF8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0A21"/>
    <w:rPr>
      <w:rFonts w:ascii="Arial" w:hAnsi="Arial"/>
      <w:sz w:val="24"/>
    </w:rPr>
  </w:style>
  <w:style w:type="paragraph" w:styleId="1">
    <w:name w:val="heading 1"/>
    <w:basedOn w:val="a"/>
    <w:next w:val="a"/>
    <w:link w:val="10"/>
    <w:qFormat/>
    <w:rsid w:val="00110A21"/>
    <w:pPr>
      <w:keepNext/>
      <w:keepLines/>
      <w:pageBreakBefore/>
      <w:numPr>
        <w:numId w:val="1"/>
      </w:numPr>
      <w:spacing w:before="400" w:after="600" w:line="240" w:lineRule="auto"/>
      <w:outlineLvl w:val="0"/>
    </w:pPr>
    <w:rPr>
      <w:rFonts w:ascii="Verdana" w:eastAsia="Times New Roman" w:hAnsi="Verdana" w:cs="Arial"/>
      <w:b/>
      <w:bCs/>
      <w:color w:val="4D4D4D"/>
      <w:szCs w:val="14"/>
      <w:lang w:val="de-DE" w:eastAsia="de-DE"/>
    </w:rPr>
  </w:style>
  <w:style w:type="paragraph" w:styleId="2">
    <w:name w:val="heading 2"/>
    <w:basedOn w:val="a"/>
    <w:next w:val="a"/>
    <w:link w:val="20"/>
    <w:autoRedefine/>
    <w:qFormat/>
    <w:rsid w:val="002E14A2"/>
    <w:pPr>
      <w:keepNext/>
      <w:pageBreakBefore/>
      <w:numPr>
        <w:ilvl w:val="1"/>
        <w:numId w:val="1"/>
      </w:numPr>
      <w:spacing w:before="360" w:after="120" w:line="240" w:lineRule="auto"/>
      <w:ind w:left="578" w:hanging="578"/>
      <w:outlineLvl w:val="1"/>
    </w:pPr>
    <w:rPr>
      <w:rFonts w:ascii="Verdana" w:eastAsia="Times New Roman" w:hAnsi="Verdana" w:cs="Arial"/>
      <w:bCs/>
      <w:color w:val="4D4D4D"/>
      <w:sz w:val="36"/>
      <w:szCs w:val="14"/>
      <w:lang w:val="en-US" w:eastAsia="de-DE"/>
    </w:rPr>
  </w:style>
  <w:style w:type="paragraph" w:styleId="3">
    <w:name w:val="heading 3"/>
    <w:basedOn w:val="a"/>
    <w:next w:val="a"/>
    <w:link w:val="30"/>
    <w:qFormat/>
    <w:rsid w:val="002E14A2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Verdana" w:eastAsia="Times New Roman" w:hAnsi="Verdana" w:cs="Arial"/>
      <w:bCs/>
      <w:color w:val="4D4D4D"/>
      <w:sz w:val="28"/>
      <w:szCs w:val="26"/>
      <w:lang w:val="de-DE" w:eastAsia="de-DE"/>
    </w:rPr>
  </w:style>
  <w:style w:type="paragraph" w:styleId="4">
    <w:name w:val="heading 4"/>
    <w:basedOn w:val="a"/>
    <w:next w:val="a"/>
    <w:link w:val="40"/>
    <w:qFormat/>
    <w:rsid w:val="002E14A2"/>
    <w:pPr>
      <w:keepNext/>
      <w:numPr>
        <w:ilvl w:val="3"/>
        <w:numId w:val="1"/>
      </w:numPr>
      <w:spacing w:after="0" w:line="240" w:lineRule="auto"/>
      <w:jc w:val="both"/>
      <w:outlineLvl w:val="3"/>
    </w:pPr>
    <w:rPr>
      <w:rFonts w:ascii="Verdana" w:eastAsia="Times New Roman" w:hAnsi="Verdana" w:cs="Times New Roman"/>
      <w:b/>
      <w:color w:val="4D4D4D"/>
      <w:szCs w:val="20"/>
      <w:lang w:val="de-DE" w:eastAsia="de-DE"/>
    </w:rPr>
  </w:style>
  <w:style w:type="paragraph" w:styleId="5">
    <w:name w:val="heading 5"/>
    <w:basedOn w:val="a"/>
    <w:next w:val="a"/>
    <w:link w:val="50"/>
    <w:qFormat/>
    <w:rsid w:val="002E14A2"/>
    <w:pPr>
      <w:keepNext/>
      <w:numPr>
        <w:ilvl w:val="4"/>
        <w:numId w:val="1"/>
      </w:numPr>
      <w:spacing w:after="0" w:line="240" w:lineRule="auto"/>
      <w:outlineLvl w:val="4"/>
    </w:pPr>
    <w:rPr>
      <w:rFonts w:ascii="Times New Roman" w:eastAsia="Times New Roman" w:hAnsi="Times New Roman" w:cs="Times New Roman"/>
      <w:b/>
      <w:color w:val="4D4D4D"/>
      <w:sz w:val="44"/>
      <w:szCs w:val="20"/>
      <w:lang w:val="de-DE" w:eastAsia="de-DE"/>
    </w:rPr>
  </w:style>
  <w:style w:type="paragraph" w:styleId="6">
    <w:name w:val="heading 6"/>
    <w:basedOn w:val="a"/>
    <w:next w:val="a"/>
    <w:link w:val="60"/>
    <w:qFormat/>
    <w:rsid w:val="002E14A2"/>
    <w:pPr>
      <w:keepNext/>
      <w:numPr>
        <w:ilvl w:val="5"/>
        <w:numId w:val="1"/>
      </w:numPr>
      <w:spacing w:after="0" w:line="240" w:lineRule="auto"/>
      <w:outlineLvl w:val="5"/>
    </w:pPr>
    <w:rPr>
      <w:rFonts w:ascii="Times New Roman" w:eastAsia="Times New Roman" w:hAnsi="Times New Roman" w:cs="Times New Roman"/>
      <w:color w:val="4D4D4D"/>
      <w:sz w:val="80"/>
      <w:szCs w:val="20"/>
      <w:lang w:val="de-DE" w:eastAsia="de-DE"/>
    </w:rPr>
  </w:style>
  <w:style w:type="paragraph" w:styleId="7">
    <w:name w:val="heading 7"/>
    <w:basedOn w:val="a"/>
    <w:next w:val="a"/>
    <w:link w:val="70"/>
    <w:qFormat/>
    <w:rsid w:val="002E14A2"/>
    <w:pPr>
      <w:keepNext/>
      <w:numPr>
        <w:ilvl w:val="6"/>
        <w:numId w:val="1"/>
      </w:numPr>
      <w:spacing w:after="0" w:line="240" w:lineRule="auto"/>
      <w:outlineLvl w:val="6"/>
    </w:pPr>
    <w:rPr>
      <w:rFonts w:ascii="Times New Roman" w:eastAsia="Times New Roman" w:hAnsi="Times New Roman" w:cs="Times New Roman"/>
      <w:color w:val="4D4D4D"/>
      <w:szCs w:val="20"/>
      <w:lang w:val="de-DE" w:eastAsia="de-DE"/>
    </w:rPr>
  </w:style>
  <w:style w:type="paragraph" w:styleId="8">
    <w:name w:val="heading 8"/>
    <w:basedOn w:val="a"/>
    <w:next w:val="a"/>
    <w:link w:val="80"/>
    <w:qFormat/>
    <w:rsid w:val="002E14A2"/>
    <w:pPr>
      <w:keepNext/>
      <w:numPr>
        <w:ilvl w:val="7"/>
        <w:numId w:val="1"/>
      </w:numPr>
      <w:spacing w:after="0" w:line="240" w:lineRule="auto"/>
      <w:outlineLvl w:val="7"/>
    </w:pPr>
    <w:rPr>
      <w:rFonts w:ascii="Times New Roman" w:eastAsia="Times New Roman" w:hAnsi="Times New Roman" w:cs="Times New Roman"/>
      <w:b/>
      <w:color w:val="4D4D4D"/>
      <w:sz w:val="28"/>
      <w:szCs w:val="20"/>
      <w:lang w:val="de-DE" w:eastAsia="de-DE"/>
    </w:rPr>
  </w:style>
  <w:style w:type="paragraph" w:styleId="9">
    <w:name w:val="heading 9"/>
    <w:basedOn w:val="a"/>
    <w:next w:val="a"/>
    <w:link w:val="90"/>
    <w:qFormat/>
    <w:rsid w:val="002E14A2"/>
    <w:pPr>
      <w:keepNext/>
      <w:numPr>
        <w:ilvl w:val="8"/>
        <w:numId w:val="1"/>
      </w:numPr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b/>
      <w:color w:val="4D4D4D"/>
      <w:sz w:val="16"/>
      <w:szCs w:val="20"/>
      <w:lang w:val="de-DE"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2510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251079"/>
  </w:style>
  <w:style w:type="paragraph" w:styleId="a5">
    <w:name w:val="footer"/>
    <w:basedOn w:val="a"/>
    <w:link w:val="a6"/>
    <w:uiPriority w:val="99"/>
    <w:unhideWhenUsed/>
    <w:rsid w:val="002510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1079"/>
  </w:style>
  <w:style w:type="character" w:customStyle="1" w:styleId="10">
    <w:name w:val="Заголовок 1 Знак"/>
    <w:basedOn w:val="a0"/>
    <w:link w:val="1"/>
    <w:rsid w:val="00110A21"/>
    <w:rPr>
      <w:rFonts w:ascii="Verdana" w:eastAsia="Times New Roman" w:hAnsi="Verdana" w:cs="Arial"/>
      <w:b/>
      <w:bCs/>
      <w:color w:val="4D4D4D"/>
      <w:sz w:val="24"/>
      <w:szCs w:val="14"/>
      <w:lang w:val="de-DE" w:eastAsia="de-DE"/>
    </w:rPr>
  </w:style>
  <w:style w:type="character" w:customStyle="1" w:styleId="20">
    <w:name w:val="Заголовок 2 Знак"/>
    <w:basedOn w:val="a0"/>
    <w:link w:val="2"/>
    <w:rsid w:val="002E14A2"/>
    <w:rPr>
      <w:rFonts w:ascii="Verdana" w:eastAsia="Times New Roman" w:hAnsi="Verdana" w:cs="Arial"/>
      <w:bCs/>
      <w:color w:val="4D4D4D"/>
      <w:sz w:val="36"/>
      <w:szCs w:val="14"/>
      <w:lang w:val="en-US" w:eastAsia="de-DE"/>
    </w:rPr>
  </w:style>
  <w:style w:type="character" w:customStyle="1" w:styleId="30">
    <w:name w:val="Заголовок 3 Знак"/>
    <w:basedOn w:val="a0"/>
    <w:link w:val="3"/>
    <w:rsid w:val="002E14A2"/>
    <w:rPr>
      <w:rFonts w:ascii="Verdana" w:eastAsia="Times New Roman" w:hAnsi="Verdana" w:cs="Arial"/>
      <w:bCs/>
      <w:color w:val="4D4D4D"/>
      <w:sz w:val="28"/>
      <w:szCs w:val="26"/>
      <w:lang w:val="de-DE" w:eastAsia="de-DE"/>
    </w:rPr>
  </w:style>
  <w:style w:type="character" w:customStyle="1" w:styleId="40">
    <w:name w:val="Заголовок 4 Знак"/>
    <w:basedOn w:val="a0"/>
    <w:link w:val="4"/>
    <w:rsid w:val="002E14A2"/>
    <w:rPr>
      <w:rFonts w:ascii="Verdana" w:eastAsia="Times New Roman" w:hAnsi="Verdana" w:cs="Times New Roman"/>
      <w:b/>
      <w:color w:val="4D4D4D"/>
      <w:sz w:val="24"/>
      <w:szCs w:val="20"/>
      <w:lang w:val="de-DE" w:eastAsia="de-DE"/>
    </w:rPr>
  </w:style>
  <w:style w:type="character" w:customStyle="1" w:styleId="50">
    <w:name w:val="Заголовок 5 Знак"/>
    <w:basedOn w:val="a0"/>
    <w:link w:val="5"/>
    <w:rsid w:val="002E14A2"/>
    <w:rPr>
      <w:rFonts w:ascii="Times New Roman" w:eastAsia="Times New Roman" w:hAnsi="Times New Roman" w:cs="Times New Roman"/>
      <w:b/>
      <w:color w:val="4D4D4D"/>
      <w:sz w:val="44"/>
      <w:szCs w:val="20"/>
      <w:lang w:val="de-DE" w:eastAsia="de-DE"/>
    </w:rPr>
  </w:style>
  <w:style w:type="character" w:customStyle="1" w:styleId="60">
    <w:name w:val="Заголовок 6 Знак"/>
    <w:basedOn w:val="a0"/>
    <w:link w:val="6"/>
    <w:rsid w:val="002E14A2"/>
    <w:rPr>
      <w:rFonts w:ascii="Times New Roman" w:eastAsia="Times New Roman" w:hAnsi="Times New Roman" w:cs="Times New Roman"/>
      <w:color w:val="4D4D4D"/>
      <w:sz w:val="80"/>
      <w:szCs w:val="20"/>
      <w:lang w:val="de-DE" w:eastAsia="de-DE"/>
    </w:rPr>
  </w:style>
  <w:style w:type="character" w:customStyle="1" w:styleId="70">
    <w:name w:val="Заголовок 7 Знак"/>
    <w:basedOn w:val="a0"/>
    <w:link w:val="7"/>
    <w:rsid w:val="002E14A2"/>
    <w:rPr>
      <w:rFonts w:ascii="Times New Roman" w:eastAsia="Times New Roman" w:hAnsi="Times New Roman" w:cs="Times New Roman"/>
      <w:color w:val="4D4D4D"/>
      <w:sz w:val="24"/>
      <w:szCs w:val="20"/>
      <w:lang w:val="de-DE" w:eastAsia="de-DE"/>
    </w:rPr>
  </w:style>
  <w:style w:type="character" w:customStyle="1" w:styleId="80">
    <w:name w:val="Заголовок 8 Знак"/>
    <w:basedOn w:val="a0"/>
    <w:link w:val="8"/>
    <w:rsid w:val="002E14A2"/>
    <w:rPr>
      <w:rFonts w:ascii="Times New Roman" w:eastAsia="Times New Roman" w:hAnsi="Times New Roman" w:cs="Times New Roman"/>
      <w:b/>
      <w:color w:val="4D4D4D"/>
      <w:sz w:val="28"/>
      <w:szCs w:val="20"/>
      <w:lang w:val="de-DE" w:eastAsia="de-DE"/>
    </w:rPr>
  </w:style>
  <w:style w:type="character" w:customStyle="1" w:styleId="90">
    <w:name w:val="Заголовок 9 Знак"/>
    <w:basedOn w:val="a0"/>
    <w:link w:val="9"/>
    <w:rsid w:val="002E14A2"/>
    <w:rPr>
      <w:rFonts w:ascii="Times New Roman" w:eastAsia="Times New Roman" w:hAnsi="Times New Roman" w:cs="Times New Roman"/>
      <w:b/>
      <w:color w:val="4D4D4D"/>
      <w:sz w:val="16"/>
      <w:szCs w:val="20"/>
      <w:lang w:val="de-DE" w:eastAsia="de-DE"/>
    </w:rPr>
  </w:style>
  <w:style w:type="paragraph" w:styleId="a7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"/>
    <w:link w:val="a8"/>
    <w:uiPriority w:val="34"/>
    <w:qFormat/>
    <w:rsid w:val="00052D7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a8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link w:val="a7"/>
    <w:uiPriority w:val="34"/>
    <w:locked/>
    <w:rsid w:val="00052D7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1308</TotalTime>
  <Pages>6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Popova Darya(CE)</dc:creator>
  <cp:keywords/>
  <dc:description/>
  <cp:lastModifiedBy>kovtundv1</cp:lastModifiedBy>
  <cp:revision>10</cp:revision>
  <dcterms:created xsi:type="dcterms:W3CDTF">2021-09-21T15:30:00Z</dcterms:created>
  <dcterms:modified xsi:type="dcterms:W3CDTF">2024-05-28T13:19:00Z</dcterms:modified>
</cp:coreProperties>
</file>