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9D4" w:rsidRDefault="003A288C" w:rsidP="001D73B8">
      <w:pPr>
        <w:tabs>
          <w:tab w:val="left" w:pos="1710"/>
        </w:tabs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544.5pt;margin-top:117.75pt;width:128.25pt;height:220.5pt;z-index:251663360">
            <v:textbox>
              <w:txbxContent>
                <w:p w:rsidR="003A288C" w:rsidRPr="003A288C" w:rsidRDefault="003A288C" w:rsidP="003A288C">
                  <w:pPr>
                    <w:jc w:val="center"/>
                    <w:rPr>
                      <w:sz w:val="144"/>
                    </w:rPr>
                  </w:pPr>
                  <w:r w:rsidRPr="003A288C">
                    <w:rPr>
                      <w:rFonts w:hint="eastAsia"/>
                      <w:sz w:val="144"/>
                    </w:rPr>
                    <w:t>图片</w:t>
                  </w:r>
                </w:p>
              </w:txbxContent>
            </v:textbox>
          </v:shape>
        </w:pict>
      </w:r>
      <w:r w:rsidR="00EE40DA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left:0;text-align:left;margin-left:333pt;margin-top:391.5pt;width:189.75pt;height:0;z-index:251662336" o:connectortype="straight"/>
        </w:pict>
      </w:r>
      <w:r w:rsidR="00DF0946">
        <w:rPr>
          <w:noProof/>
        </w:rPr>
        <w:pict>
          <v:shape id="_x0000_s2050" type="#_x0000_t202" style="position:absolute;left:0;text-align:left;margin-left:88.5pt;margin-top:8.25pt;width:597.75pt;height:422.25pt;z-index:251660288;mso-width-relative:margin;mso-height-relative:margin">
            <v:textbox style="mso-next-textbox:#_x0000_s2050" inset="5.5mm,3.3mm,55.5mm,5.3mm">
              <w:txbxContent>
                <w:p w:rsidR="00A9288D" w:rsidRDefault="00A9288D" w:rsidP="00B7550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 w:hint="eastAsia"/>
                      <w:b/>
                      <w:color w:val="000000"/>
                      <w:kern w:val="0"/>
                      <w:szCs w:val="24"/>
                      <w:lang w:val="ru-RU"/>
                    </w:rPr>
                  </w:pPr>
                </w:p>
                <w:p w:rsidR="003C6AB9" w:rsidRDefault="003C6AB9" w:rsidP="00B7550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 w:hint="eastAsia"/>
                      <w:b/>
                      <w:color w:val="000000"/>
                      <w:kern w:val="0"/>
                      <w:szCs w:val="24"/>
                      <w:lang w:val="ru-RU"/>
                    </w:rPr>
                  </w:pPr>
                </w:p>
                <w:p w:rsidR="003C6AB9" w:rsidRDefault="003C6AB9" w:rsidP="00B7550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 w:hint="eastAsia"/>
                      <w:b/>
                      <w:color w:val="000000"/>
                      <w:kern w:val="0"/>
                      <w:szCs w:val="24"/>
                      <w:lang w:val="ru-RU"/>
                    </w:rPr>
                  </w:pPr>
                </w:p>
                <w:p w:rsidR="00DD414F" w:rsidRDefault="00BC07D5" w:rsidP="00BC07D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 w:hint="eastAsia"/>
                      <w:b/>
                      <w:color w:val="000000"/>
                      <w:kern w:val="0"/>
                      <w:sz w:val="24"/>
                      <w:szCs w:val="24"/>
                      <w:lang w:val="ru-RU"/>
                    </w:rPr>
                  </w:pPr>
                  <w:r w:rsidRPr="00BC07D5"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 w:val="24"/>
                      <w:szCs w:val="24"/>
                      <w:lang w:val="ru-RU"/>
                    </w:rPr>
                    <w:t xml:space="preserve">ПРАВИЛА ЭКСПЛУАТАЦИИ ОБОРУДОВАНИЯ </w:t>
                  </w:r>
                </w:p>
                <w:p w:rsidR="00BC07D5" w:rsidRDefault="00BC07D5" w:rsidP="00BC07D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 w:hint="eastAsia"/>
                      <w:b/>
                      <w:color w:val="000000"/>
                      <w:kern w:val="0"/>
                      <w:sz w:val="24"/>
                      <w:szCs w:val="24"/>
                      <w:lang w:val="ru-RU"/>
                    </w:rPr>
                  </w:pPr>
                  <w:r w:rsidRPr="00BC07D5"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 w:val="24"/>
                      <w:szCs w:val="24"/>
                      <w:lang w:val="ru-RU"/>
                    </w:rPr>
                    <w:t>АВТОМАТИЧЕСКОГО ПОЖАРОТУШЕНИЯ ГЕПТОФТОР ПРОПАНОМ</w:t>
                  </w:r>
                </w:p>
                <w:p w:rsidR="00BC07D5" w:rsidRPr="00BC07D5" w:rsidRDefault="00BC07D5" w:rsidP="00BC07D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 w:val="24"/>
                      <w:szCs w:val="24"/>
                      <w:lang w:val="ru-RU"/>
                    </w:rPr>
                  </w:pPr>
                </w:p>
                <w:p w:rsidR="00BC07D5" w:rsidRDefault="00BC07D5" w:rsidP="00BC07D5">
                  <w:pPr>
                    <w:pStyle w:val="a6"/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ind w:firstLineChars="0"/>
                    <w:rPr>
                      <w:rFonts w:ascii="Times New Roman" w:hAnsi="Times New Roman" w:cs="Times New Roman" w:hint="eastAsia"/>
                      <w:color w:val="000000"/>
                      <w:kern w:val="0"/>
                      <w:sz w:val="24"/>
                      <w:szCs w:val="24"/>
                      <w:lang w:val="ru-RU"/>
                    </w:rPr>
                  </w:pP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Выполняется установка баллонов с гептофтор пропановым веществом,</w:t>
                  </w:r>
                  <w:r w:rsidRPr="00BC07D5">
                    <w:rPr>
                      <w:rFonts w:ascii="Times New Roman" w:hAnsi="Times New Roman" w:cs="Times New Roman" w:hint="eastAsia"/>
                      <w:color w:val="000000"/>
                      <w:kern w:val="0"/>
                      <w:sz w:val="24"/>
                      <w:szCs w:val="24"/>
                      <w:lang w:val="ru-RU"/>
                    </w:rPr>
                    <w:t xml:space="preserve"> </w:t>
                  </w: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подсоединяется к сигнальной линии системы, при использовании нужно снять предохранительный штифт.</w:t>
                  </w:r>
                </w:p>
                <w:p w:rsidR="00BC07D5" w:rsidRDefault="00BC07D5" w:rsidP="00BC07D5">
                  <w:pPr>
                    <w:pStyle w:val="a6"/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ind w:firstLineChars="0"/>
                    <w:rPr>
                      <w:rFonts w:ascii="Times New Roman" w:hAnsi="Times New Roman" w:cs="Times New Roman" w:hint="eastAsia"/>
                      <w:color w:val="000000"/>
                      <w:kern w:val="0"/>
                      <w:sz w:val="24"/>
                      <w:szCs w:val="24"/>
                      <w:lang w:val="ru-RU"/>
                    </w:rPr>
                  </w:pP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Если не произошел автоматический запуск системы, нужно с помощью</w:t>
                  </w:r>
                  <w:r w:rsidRPr="00BC07D5">
                    <w:rPr>
                      <w:rFonts w:ascii="Times New Roman" w:hAnsi="Times New Roman" w:cs="Times New Roman" w:hint="eastAsia"/>
                      <w:color w:val="000000"/>
                      <w:kern w:val="0"/>
                      <w:sz w:val="24"/>
                      <w:szCs w:val="24"/>
                      <w:lang w:val="ru-RU"/>
                    </w:rPr>
                    <w:t xml:space="preserve"> </w:t>
                  </w: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вытяжного кольца убрать блокировочную пластину, затем нажать рычаг</w:t>
                  </w:r>
                  <w:r w:rsidRPr="00BC07D5">
                    <w:rPr>
                      <w:rFonts w:ascii="Times New Roman" w:hAnsi="Times New Roman" w:cs="Times New Roman" w:hint="eastAsia"/>
                      <w:color w:val="000000"/>
                      <w:kern w:val="0"/>
                      <w:sz w:val="24"/>
                      <w:szCs w:val="24"/>
                      <w:lang w:val="ru-RU"/>
                    </w:rPr>
                    <w:t xml:space="preserve"> </w:t>
                  </w: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механического запуска, привести в движение электромагнитный клапан, затем</w:t>
                  </w:r>
                  <w:r>
                    <w:rPr>
                      <w:rFonts w:ascii="Times New Roman" w:hAnsi="Times New Roman" w:cs="Times New Roman" w:hint="eastAsia"/>
                      <w:color w:val="000000"/>
                      <w:kern w:val="0"/>
                      <w:sz w:val="24"/>
                      <w:szCs w:val="24"/>
                      <w:lang w:val="ru-RU"/>
                    </w:rPr>
                    <w:t xml:space="preserve"> </w:t>
                  </w: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баллоны пожаротушения.</w:t>
                  </w:r>
                </w:p>
                <w:p w:rsidR="00BC07D5" w:rsidRDefault="00BC07D5" w:rsidP="00BC07D5">
                  <w:pPr>
                    <w:pStyle w:val="a6"/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ind w:firstLineChars="0"/>
                    <w:rPr>
                      <w:rFonts w:ascii="Times New Roman" w:hAnsi="Times New Roman" w:cs="Times New Roman" w:hint="eastAsia"/>
                      <w:color w:val="000000"/>
                      <w:kern w:val="0"/>
                      <w:sz w:val="24"/>
                      <w:szCs w:val="24"/>
                      <w:lang w:val="ru-RU"/>
                    </w:rPr>
                  </w:pP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Для полной ликвидации пожара во время механического запуска баллонов следует одновременно запустить два баллона пожаротушения соответствующей защитной зоны.</w:t>
                  </w:r>
                </w:p>
                <w:p w:rsidR="00BC07D5" w:rsidRPr="00BC07D5" w:rsidRDefault="00BC07D5" w:rsidP="00BC07D5">
                  <w:pPr>
                    <w:pStyle w:val="a6"/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ind w:firstLineChars="0"/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</w:pPr>
                  <w:r w:rsidRPr="00BC07D5">
                    <w:rPr>
                      <w:rFonts w:ascii="Times New Roman" w:hAnsi="Times New Roman" w:cs="Times New Roman"/>
                      <w:color w:val="000000"/>
                      <w:kern w:val="0"/>
                      <w:sz w:val="24"/>
                      <w:szCs w:val="24"/>
                      <w:lang w:val="ru-RU"/>
                    </w:rPr>
                    <w:t>Баллоны пожаротушения - это емкости высокого давления, поэтому доступ к ним посторонних запрещен, они должны находиться вдали от открытого огня.</w:t>
                  </w:r>
                </w:p>
                <w:p w:rsidR="00EE40DA" w:rsidRPr="00BC07D5" w:rsidRDefault="00EE40DA" w:rsidP="00BC07D5">
                  <w:pPr>
                    <w:rPr>
                      <w:rFonts w:ascii="Times New Roman" w:hAnsi="Times New Roman" w:cs="Times New Roman"/>
                      <w:sz w:val="20"/>
                      <w:szCs w:val="28"/>
                      <w:lang w:val="ru-RU"/>
                    </w:rPr>
                  </w:pPr>
                </w:p>
                <w:p w:rsidR="00672787" w:rsidRDefault="00672787" w:rsidP="00BC07D5">
                  <w:pPr>
                    <w:ind w:firstLineChars="2300" w:firstLine="4600"/>
                    <w:rPr>
                      <w:rFonts w:ascii="Times New Roman" w:hAnsi="Times New Roman" w:cs="Times New Roman" w:hint="eastAsia"/>
                      <w:sz w:val="20"/>
                      <w:szCs w:val="28"/>
                    </w:rPr>
                  </w:pPr>
                </w:p>
                <w:p w:rsidR="00672787" w:rsidRDefault="00672787" w:rsidP="00BC07D5">
                  <w:pPr>
                    <w:ind w:firstLineChars="2300" w:firstLine="4600"/>
                    <w:rPr>
                      <w:rFonts w:ascii="Times New Roman" w:hAnsi="Times New Roman" w:cs="Times New Roman" w:hint="eastAsia"/>
                      <w:sz w:val="20"/>
                      <w:szCs w:val="28"/>
                    </w:rPr>
                  </w:pPr>
                </w:p>
                <w:p w:rsidR="00672787" w:rsidRDefault="00672787" w:rsidP="00BC07D5">
                  <w:pPr>
                    <w:ind w:firstLineChars="2300" w:firstLine="4600"/>
                    <w:rPr>
                      <w:rFonts w:ascii="Times New Roman" w:hAnsi="Times New Roman" w:cs="Times New Roman" w:hint="eastAsia"/>
                      <w:sz w:val="20"/>
                      <w:szCs w:val="28"/>
                    </w:rPr>
                  </w:pPr>
                </w:p>
                <w:p w:rsidR="00672787" w:rsidRDefault="00672787" w:rsidP="00BC07D5">
                  <w:pPr>
                    <w:ind w:firstLineChars="2300" w:firstLine="4600"/>
                    <w:rPr>
                      <w:rFonts w:ascii="Times New Roman" w:hAnsi="Times New Roman" w:cs="Times New Roman" w:hint="eastAsia"/>
                      <w:sz w:val="20"/>
                      <w:szCs w:val="28"/>
                    </w:rPr>
                  </w:pPr>
                </w:p>
                <w:p w:rsidR="00672787" w:rsidRDefault="00672787" w:rsidP="00BC07D5">
                  <w:pPr>
                    <w:ind w:firstLineChars="2300" w:firstLine="4600"/>
                    <w:rPr>
                      <w:rFonts w:ascii="Times New Roman" w:hAnsi="Times New Roman" w:cs="Times New Roman" w:hint="eastAsia"/>
                      <w:sz w:val="20"/>
                      <w:szCs w:val="28"/>
                    </w:rPr>
                  </w:pPr>
                </w:p>
                <w:p w:rsidR="00EE40DA" w:rsidRPr="00B75503" w:rsidRDefault="00EE40DA" w:rsidP="00BC07D5">
                  <w:pPr>
                    <w:ind w:firstLineChars="2300" w:firstLine="4600"/>
                    <w:rPr>
                      <w:rFonts w:ascii="Times New Roman" w:hAnsi="Times New Roman" w:cs="Times New Roman"/>
                      <w:sz w:val="20"/>
                      <w:szCs w:val="28"/>
                    </w:rPr>
                  </w:pPr>
                  <w:r w:rsidRPr="00B75503">
                    <w:rPr>
                      <w:rFonts w:ascii="Times New Roman" w:hAnsi="Times New Roman" w:cs="Times New Roman"/>
                      <w:sz w:val="20"/>
                      <w:szCs w:val="28"/>
                    </w:rPr>
                    <w:t>XI`AN BOKANG ELECTRONICS CO.,</w:t>
                  </w:r>
                  <w:r w:rsidRPr="00B75503">
                    <w:rPr>
                      <w:rFonts w:ascii="Times New Roman" w:hAnsi="Times New Roman" w:cs="Times New Roman" w:hint="eastAsia"/>
                      <w:sz w:val="20"/>
                      <w:szCs w:val="28"/>
                    </w:rPr>
                    <w:t xml:space="preserve"> </w:t>
                  </w:r>
                  <w:r w:rsidRPr="00B75503">
                    <w:rPr>
                      <w:rFonts w:ascii="Times New Roman" w:hAnsi="Times New Roman" w:cs="Times New Roman"/>
                      <w:sz w:val="20"/>
                      <w:szCs w:val="28"/>
                    </w:rPr>
                    <w:t>LTD.</w:t>
                  </w:r>
                </w:p>
                <w:p w:rsidR="006F3E6E" w:rsidRPr="00EE40DA" w:rsidRDefault="006F3E6E" w:rsidP="00BC07D5">
                  <w:pPr>
                    <w:rPr>
                      <w:sz w:val="15"/>
                    </w:rPr>
                  </w:pPr>
                </w:p>
              </w:txbxContent>
            </v:textbox>
          </v:shape>
        </w:pict>
      </w:r>
      <w:r w:rsidR="00C93B97">
        <w:rPr>
          <w:noProof/>
        </w:rPr>
        <w:pict>
          <v:shape id="_x0000_s2051" type="#_x0000_t32" style="position:absolute;left:0;text-align:left;margin-left:298.5pt;margin-top:735pt;width:187.5pt;height:0;z-index:251661312" o:connectortype="straight"/>
        </w:pict>
      </w:r>
      <w:r w:rsidR="001D73B8">
        <w:tab/>
      </w:r>
    </w:p>
    <w:sectPr w:rsidR="003D39D4" w:rsidSect="00DF0946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2DE9" w:rsidRDefault="00882DE9" w:rsidP="006F3E6E">
      <w:r>
        <w:separator/>
      </w:r>
    </w:p>
  </w:endnote>
  <w:endnote w:type="continuationSeparator" w:id="1">
    <w:p w:rsidR="00882DE9" w:rsidRDefault="00882DE9" w:rsidP="006F3E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2DE9" w:rsidRDefault="00882DE9" w:rsidP="006F3E6E">
      <w:r>
        <w:separator/>
      </w:r>
    </w:p>
  </w:footnote>
  <w:footnote w:type="continuationSeparator" w:id="1">
    <w:p w:rsidR="00882DE9" w:rsidRDefault="00882DE9" w:rsidP="006F3E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6A632E"/>
    <w:multiLevelType w:val="hybridMultilevel"/>
    <w:tmpl w:val="32BE1D22"/>
    <w:lvl w:ilvl="0" w:tplc="98349E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7C66205C"/>
    <w:multiLevelType w:val="hybridMultilevel"/>
    <w:tmpl w:val="08526D72"/>
    <w:lvl w:ilvl="0" w:tplc="09DED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AC27A6"/>
    <w:multiLevelType w:val="hybridMultilevel"/>
    <w:tmpl w:val="667884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ECD4FDD"/>
    <w:multiLevelType w:val="hybridMultilevel"/>
    <w:tmpl w:val="1BEEEB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3E6E"/>
    <w:rsid w:val="00071E95"/>
    <w:rsid w:val="000F5D81"/>
    <w:rsid w:val="001D73B8"/>
    <w:rsid w:val="001E0BDA"/>
    <w:rsid w:val="001E198B"/>
    <w:rsid w:val="003A288C"/>
    <w:rsid w:val="003C3516"/>
    <w:rsid w:val="003C6AB9"/>
    <w:rsid w:val="003D39D4"/>
    <w:rsid w:val="00633096"/>
    <w:rsid w:val="00672787"/>
    <w:rsid w:val="006F3E6E"/>
    <w:rsid w:val="007A74E1"/>
    <w:rsid w:val="00882DE9"/>
    <w:rsid w:val="00A9288D"/>
    <w:rsid w:val="00B75503"/>
    <w:rsid w:val="00B96049"/>
    <w:rsid w:val="00BC07D5"/>
    <w:rsid w:val="00C93B97"/>
    <w:rsid w:val="00CD079C"/>
    <w:rsid w:val="00D8760E"/>
    <w:rsid w:val="00DD414F"/>
    <w:rsid w:val="00DF0946"/>
    <w:rsid w:val="00E3188B"/>
    <w:rsid w:val="00E72733"/>
    <w:rsid w:val="00E97807"/>
    <w:rsid w:val="00EA392E"/>
    <w:rsid w:val="00EB5ECA"/>
    <w:rsid w:val="00EE40DA"/>
    <w:rsid w:val="00F22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2" type="connector" idref="#_x0000_s2051"/>
        <o:r id="V:Rule4" type="connector" idref="#_x0000_s2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3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3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3E6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3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3E6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F3E6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F3E6E"/>
    <w:rPr>
      <w:sz w:val="18"/>
      <w:szCs w:val="18"/>
    </w:rPr>
  </w:style>
  <w:style w:type="paragraph" w:styleId="a6">
    <w:name w:val="List Paragraph"/>
    <w:basedOn w:val="a"/>
    <w:uiPriority w:val="34"/>
    <w:qFormat/>
    <w:rsid w:val="006F3E6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liulu</dc:creator>
  <cp:keywords/>
  <dc:description/>
  <cp:lastModifiedBy>liulu</cp:lastModifiedBy>
  <cp:revision>10</cp:revision>
  <dcterms:created xsi:type="dcterms:W3CDTF">2011-06-24T06:39:00Z</dcterms:created>
  <dcterms:modified xsi:type="dcterms:W3CDTF">2011-06-24T06:45:00Z</dcterms:modified>
</cp:coreProperties>
</file>