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Arial" w:cs="Arial" w:eastAsia="Arial" w:hAnsi="Arial"/>
          <w:b/>
          <w:bCs/>
          <w:color w:val="1B3D6D"/>
          <w:sz w:val="40"/>
          <w:szCs w:val="40"/>
        </w:rPr>
        <w:t xml:space="preserve">Contrato de Integração</w:t>
      </w:r>
    </w:p>
    <w:p>
      <w:pPr>
        <w:spacing w:after="60"/>
      </w:pPr>
      <w:r>
        <w:rPr>
          <w:rFonts w:ascii="Arial" w:cs="Arial" w:eastAsia="Arial" w:hAnsi="Arial"/>
          <w:color w:val="1B3D6D"/>
          <w:sz w:val="26"/>
          <w:szCs w:val="26"/>
        </w:rPr>
        <w:t xml:space="preserve">Envio de Imagem do CMDB — VokeNext → Sankhya</w:t>
      </w:r>
    </w:p>
    <w:p>
      <w:pPr>
        <w:pBdr>
          <w:bottom w:val="single" w:color="F291D6" w:sz="6"/>
        </w:pBdr>
        <w:spacing w:after="120" w:before="60"/>
      </w:pPr>
    </w:p>
    <w:p>
      <w:pPr>
        <w:spacing w:after="20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Referência: TASK 866 — Criação de imagem no CMDB   ·   </w:t>
      </w:r>
      <w:r>
        <w:rPr>
          <w:rFonts w:ascii="Arial" w:cs="Arial" w:eastAsia="Arial" w:hAnsi="Arial"/>
          <w:color w:val="595959"/>
          <w:sz w:val="22"/>
          <w:szCs w:val="22"/>
        </w:rPr>
        <w:t xml:space="preserve">Ambiente: HML (erp-hml.microcity.com.br)   ·   </w:t>
      </w:r>
      <w:r>
        <w:rPr>
          <w:rFonts w:ascii="Arial" w:cs="Arial" w:eastAsia="Arial" w:hAnsi="Arial"/>
          <w:color w:val="595959"/>
          <w:sz w:val="22"/>
          <w:szCs w:val="22"/>
        </w:rPr>
        <w:t xml:space="preserve">Destinatário: equipe Run2Biz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B3D6D"/>
          <w:sz w:val="22"/>
          <w:szCs w:val="22"/>
        </w:rPr>
        <w:t xml:space="preserve">Objetivo.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Especificar o que o Run2Biz precisa implementar para que uma imagem cadastrada ou alterada no CMDB do VokeNext seja enviada ao Sankhya e apareça no campo </w:t>
      </w: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Imagem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 do contrato (Planejamento › Rollout). O lado Sankhya (campos, procedure de promoção e leitura pelo contrato) já está concluído — o que resta é o envio pela API, descrito abaixo.</w:t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B3D6D"/>
          <w:sz w:val="28"/>
          <w:szCs w:val="28"/>
        </w:rPr>
        <w:t xml:space="preserve">1. Escopo do Run2Biz</w:t>
      </w:r>
    </w:p>
    <w:p>
      <w:pPr>
        <w:spacing w:after="12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Ao cadastrar ou alterar uma imagem no CMDB do VokeNext, chamar a API do Sankhya e gravar o registro na tabela de importação AD_IMPORTAIMAGEM, atendendo aos requisitos a seguir. A promoção para a tabela final e o carimbo de integração são responsabilidade do Sankhya (procedure já ativa).</w:t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B3D6D"/>
          <w:sz w:val="28"/>
          <w:szCs w:val="28"/>
        </w:rPr>
        <w:t xml:space="preserve">2. Requisitos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CODPARC resolvido (matriz/filial).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Enviar o CODPARC do cliente no mesmo padrão do fluxo do CA de hoje: </w:t>
      </w:r>
      <w:r>
        <w:rPr>
          <w:rFonts w:ascii="Consolas" w:cs="Consolas" w:eastAsia="Consolas" w:hAnsi="Consolas"/>
          <w:color w:val="1B3D6D"/>
          <w:sz w:val="20"/>
          <w:szCs w:val="20"/>
        </w:rPr>
        <w:t xml:space="preserve">CODPARC = NVL(CODPARCMATRIZ, CODPARC)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. Se o cliente é filial, enviar a matriz; senão, o próprio. Sem isso a imagem entra sem cliente e não aparece no contrato.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Id estável por imagem.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Enviar </w:t>
      </w:r>
      <w:r>
        <w:rPr>
          <w:rFonts w:ascii="Consolas" w:cs="Consolas" w:eastAsia="Consolas" w:hAnsi="Consolas"/>
          <w:color w:val="1B3D6D"/>
          <w:sz w:val="20"/>
          <w:szCs w:val="20"/>
        </w:rPr>
        <w:t xml:space="preserve">IDVOKENEX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 com o id da imagem no VokeNext, usado para deduplicar — reenvio deve atualizar, não criar duplicado.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Origem.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Enviar </w:t>
      </w:r>
      <w:r>
        <w:rPr>
          <w:rFonts w:ascii="Consolas" w:cs="Consolas" w:eastAsia="Consolas" w:hAnsi="Consolas"/>
          <w:color w:val="1B3D6D"/>
          <w:sz w:val="20"/>
          <w:szCs w:val="20"/>
        </w:rPr>
        <w:t xml:space="preserve">ORIGEM = 'VOKENEX'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Status.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Enviar </w:t>
      </w:r>
      <w:r>
        <w:rPr>
          <w:rFonts w:ascii="Consolas" w:cs="Consolas" w:eastAsia="Consolas" w:hAnsi="Consolas"/>
          <w:color w:val="1B3D6D"/>
          <w:sz w:val="20"/>
          <w:szCs w:val="20"/>
        </w:rPr>
        <w:t xml:space="preserve">STATUS = 0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 para imagem ativa (a procedure só promove novos registros com status 0).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Tratamento de erro.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Se a chamada falhar, não marcar como integrado no Run2Biz e reenviar na próxima janela.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Autenticação.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Autenticar no gateway Sankhya. Método a confirmar com o time Sankhya (token OAuth ou login MGE).</w:t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B3D6D"/>
          <w:sz w:val="28"/>
          <w:szCs w:val="28"/>
        </w:rPr>
        <w:t xml:space="preserve">3. Contrato técnico da API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Endpoint (POST). </w:t>
      </w:r>
      <w:r>
        <w:rPr>
          <w:rFonts w:ascii="Consolas" w:cs="Consolas" w:eastAsia="Consolas" w:hAnsi="Consolas"/>
          <w:color w:val="1B3D6D"/>
          <w:sz w:val="20"/>
          <w:szCs w:val="20"/>
        </w:rPr>
        <w:t xml:space="preserve">https://erp-hml.microcity.com.br:8443/mge/service.sbr?serviceName=DatasetSP.save&amp;outputType=json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Headers. </w:t>
      </w:r>
      <w:r>
        <w:rPr>
          <w:rFonts w:ascii="Consolas" w:cs="Consolas" w:eastAsia="Consolas" w:hAnsi="Consolas"/>
          <w:color w:val="1B3D6D"/>
          <w:sz w:val="20"/>
          <w:szCs w:val="20"/>
        </w:rPr>
        <w:t xml:space="preserve">Content-Type: application/json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   ·   </w:t>
      </w:r>
      <w:r>
        <w:rPr>
          <w:rFonts w:ascii="Consolas" w:cs="Consolas" w:eastAsia="Consolas" w:hAnsi="Consolas"/>
          <w:color w:val="1B3D6D"/>
          <w:sz w:val="20"/>
          <w:szCs w:val="20"/>
        </w:rPr>
        <w:t xml:space="preserve">Authorization: &lt;token/login do gateway&gt;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Body (raw / JSON):</w:t>
      </w:r>
    </w:p>
    <w:p>
      <w:pPr>
        <w:shd w:fill="F3F0E6" w:color="auto" w:val="clear"/>
        <w:spacing w:after="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{</w:t>
      </w:r>
    </w:p>
    <w:p>
      <w:pPr>
        <w:shd w:fill="F3F0E6" w:color="auto" w:val="clear"/>
        <w:spacing w:after="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"serviceName": "DatasetSP.save",</w:t>
      </w:r>
    </w:p>
    <w:p>
      <w:pPr>
        <w:shd w:fill="F3F0E6" w:color="auto" w:val="clear"/>
        <w:spacing w:after="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"requestBody": {</w:t>
      </w:r>
    </w:p>
    <w:p>
      <w:pPr>
        <w:shd w:fill="F3F0E6" w:color="auto" w:val="clear"/>
        <w:spacing w:after="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"entityName": "AD_IMPORTAIMAGEM",</w:t>
      </w:r>
    </w:p>
    <w:p>
      <w:pPr>
        <w:shd w:fill="F3F0E6" w:color="auto" w:val="clear"/>
        <w:spacing w:after="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"standAlone": false,</w:t>
      </w:r>
    </w:p>
    <w:p>
      <w:pPr>
        <w:shd w:fill="F3F0E6" w:color="auto" w:val="clear"/>
        <w:spacing w:after="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"fields": ["IMAGEM","PERFILIMAGEM","CODPARC","DATACRIACAO",</w:t>
      </w:r>
    </w:p>
    <w:p>
      <w:pPr>
        <w:shd w:fill="F3F0E6" w:color="auto" w:val="clear"/>
        <w:spacing w:after="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       "STATUS","ORIGEM","IDVOKENEX","IDIMAGEMCA"],</w:t>
      </w:r>
    </w:p>
    <w:p>
      <w:pPr>
        <w:shd w:fill="F3F0E6" w:color="auto" w:val="clear"/>
        <w:spacing w:after="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"records": [</w:t>
      </w:r>
    </w:p>
    <w:p>
      <w:pPr>
        <w:shd w:fill="F3F0E6" w:color="auto" w:val="clear"/>
        <w:spacing w:after="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{ "values": {</w:t>
      </w:r>
    </w:p>
    <w:p>
      <w:pPr>
        <w:shd w:fill="F3F0E6" w:color="auto" w:val="clear"/>
        <w:spacing w:after="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  "0": "33.36",</w:t>
      </w:r>
    </w:p>
    <w:p>
      <w:pPr>
        <w:shd w:fill="F3F0E6" w:color="auto" w:val="clear"/>
        <w:spacing w:after="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  "1": "Padrao",</w:t>
      </w:r>
    </w:p>
    <w:p>
      <w:pPr>
        <w:shd w:fill="F3F0E6" w:color="auto" w:val="clear"/>
        <w:spacing w:after="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  "2": "&lt;CODPARC = NVL(CODPARCMATRIZ, CODPARC)&gt;",</w:t>
      </w:r>
    </w:p>
    <w:p>
      <w:pPr>
        <w:shd w:fill="F3F0E6" w:color="auto" w:val="clear"/>
        <w:spacing w:after="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  "3": "1523066035",</w:t>
      </w:r>
    </w:p>
    <w:p>
      <w:pPr>
        <w:shd w:fill="F3F0E6" w:color="auto" w:val="clear"/>
        <w:spacing w:after="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  "4": "0",</w:t>
      </w:r>
    </w:p>
    <w:p>
      <w:pPr>
        <w:shd w:fill="F3F0E6" w:color="auto" w:val="clear"/>
        <w:spacing w:after="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  "5": "VOKENEX",</w:t>
      </w:r>
    </w:p>
    <w:p>
      <w:pPr>
        <w:shd w:fill="F3F0E6" w:color="auto" w:val="clear"/>
        <w:spacing w:after="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  "6": "&lt;id estavel da imagem no VokeNext&gt;",</w:t>
      </w:r>
    </w:p>
    <w:p>
      <w:pPr>
        <w:shd w:fill="F3F0E6" w:color="auto" w:val="clear"/>
        <w:spacing w:after="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  "7": "A034783C192D3A4F93C422A5E26D564B"</w:t>
      </w:r>
    </w:p>
    <w:p>
      <w:pPr>
        <w:shd w:fill="F3F0E6" w:color="auto" w:val="clear"/>
        <w:spacing w:after="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} }</w:t>
      </w:r>
    </w:p>
    <w:p>
      <w:pPr>
        <w:shd w:fill="F3F0E6" w:color="auto" w:val="clear"/>
        <w:spacing w:after="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]</w:t>
      </w:r>
    </w:p>
    <w:p>
      <w:pPr>
        <w:shd w:fill="F3F0E6" w:color="auto" w:val="clear"/>
        <w:spacing w:after="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}</w:t>
      </w:r>
    </w:p>
    <w:p>
      <w:pPr>
        <w:shd w:fill="F3F0E6" w:color="auto" w:val="clear"/>
        <w:spacing w:after="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}</w:t>
      </w:r>
    </w:p>
    <w:p>
      <w:pPr>
        <w:spacing w:after="120" w:before="100"/>
      </w:pPr>
      <w:r>
        <w:rPr>
          <w:rFonts w:ascii="Arial" w:cs="Arial" w:eastAsia="Arial" w:hAnsi="Arial"/>
          <w:i/>
          <w:iCs/>
          <w:color w:val="595959"/>
          <w:sz w:val="22"/>
          <w:szCs w:val="22"/>
        </w:rPr>
        <w:t xml:space="preserve">Os índices em </w:t>
      </w:r>
      <w:r>
        <w:rPr>
          <w:rFonts w:ascii="Consolas" w:cs="Consolas" w:eastAsia="Consolas" w:hAnsi="Consolas"/>
          <w:color w:val="595959"/>
          <w:sz w:val="20"/>
          <w:szCs w:val="20"/>
        </w:rPr>
        <w:t xml:space="preserve">values</w:t>
      </w:r>
      <w:r>
        <w:rPr>
          <w:rFonts w:ascii="Arial" w:cs="Arial" w:eastAsia="Arial" w:hAnsi="Arial"/>
          <w:i/>
          <w:iCs/>
          <w:color w:val="595959"/>
          <w:sz w:val="22"/>
          <w:szCs w:val="22"/>
        </w:rPr>
        <w:t xml:space="preserve"> correspondem à posição no array </w:t>
      </w:r>
      <w:r>
        <w:rPr>
          <w:rFonts w:ascii="Consolas" w:cs="Consolas" w:eastAsia="Consolas" w:hAnsi="Consolas"/>
          <w:color w:val="595959"/>
          <w:sz w:val="20"/>
          <w:szCs w:val="20"/>
        </w:rPr>
        <w:t xml:space="preserve">fields</w:t>
      </w:r>
      <w:r>
        <w:rPr>
          <w:rFonts w:ascii="Arial" w:cs="Arial" w:eastAsia="Arial" w:hAnsi="Arial"/>
          <w:i/>
          <w:iCs/>
          <w:color w:val="595959"/>
          <w:sz w:val="22"/>
          <w:szCs w:val="22"/>
        </w:rPr>
        <w:t xml:space="preserve">.</w:t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B3D6D"/>
          <w:sz w:val="28"/>
          <w:szCs w:val="28"/>
        </w:rPr>
        <w:t xml:space="preserve">4. Mapa de campos</w:t>
      </w:r>
    </w:p>
    <w:tbl>
      <w:tblPr>
        <w:tblW w:type="dxa" w:w="8000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1500"/>
        <w:gridCol w:w="1400"/>
        <w:gridCol w:w="5100"/>
      </w:tblGrid>
      <w:tr>
        <w:tc>
          <w:tcPr>
            <w:tcW w:type="dxa" w:w="1500"/>
            <w:shd w:fill="1B3D6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1400"/>
            <w:shd w:fill="1B3D6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Exemplo</w:t>
            </w:r>
          </w:p>
        </w:tc>
        <w:tc>
          <w:tcPr>
            <w:tcW w:type="dxa" w:w="5100"/>
            <w:shd w:fill="1B3D6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1B3D6D"/>
                <w:sz w:val="20"/>
                <w:szCs w:val="20"/>
              </w:rPr>
              <w:t xml:space="preserve">IMAGEM</w:t>
            </w:r>
          </w:p>
        </w:tc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33.36</w:t>
            </w:r>
          </w:p>
        </w:tc>
        <w:tc>
          <w:tcPr>
            <w:tcW w:type="dxa" w:w="5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Código da imagem. Chave de deduplicação e valor exibido na tela.</w:t>
            </w:r>
          </w:p>
        </w:tc>
      </w:tr>
      <w:tr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1B3D6D"/>
                <w:sz w:val="20"/>
                <w:szCs w:val="20"/>
              </w:rPr>
              <w:t xml:space="preserve">PERFILIMAGEM</w:t>
            </w:r>
          </w:p>
        </w:tc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Padrão</w:t>
            </w:r>
          </w:p>
        </w:tc>
        <w:tc>
          <w:tcPr>
            <w:tcW w:type="dxa" w:w="5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Perfil da imagem.</w:t>
            </w:r>
          </w:p>
        </w:tc>
      </w:tr>
      <w:tr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1B3D6D"/>
                <w:sz w:val="20"/>
                <w:szCs w:val="20"/>
              </w:rPr>
              <w:t xml:space="preserve">CODPARC</w:t>
            </w:r>
          </w:p>
        </w:tc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1925</w:t>
            </w:r>
          </w:p>
        </w:tc>
        <w:tc>
          <w:tcPr>
            <w:tcW w:type="dxa" w:w="5100"/>
            <w:shd w:fill="F3F0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Parceiro Sankhya resolvido à matriz — NVL(CODPARCMATRIZ, CODPARC).</w:t>
            </w:r>
          </w:p>
        </w:tc>
      </w:tr>
      <w:tr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1B3D6D"/>
                <w:sz w:val="20"/>
                <w:szCs w:val="20"/>
              </w:rPr>
              <w:t xml:space="preserve">DATACRIACAO</w:t>
            </w:r>
          </w:p>
        </w:tc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1523066035</w:t>
            </w:r>
          </w:p>
        </w:tc>
        <w:tc>
          <w:tcPr>
            <w:tcW w:type="dxa" w:w="5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Data de criação em epoch (segundos).</w:t>
            </w:r>
          </w:p>
        </w:tc>
      </w:tr>
      <w:tr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1B3D6D"/>
                <w:sz w:val="20"/>
                <w:szCs w:val="20"/>
              </w:rPr>
              <w:t xml:space="preserve">STATUS</w:t>
            </w:r>
          </w:p>
        </w:tc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0</w:t>
            </w:r>
          </w:p>
        </w:tc>
        <w:tc>
          <w:tcPr>
            <w:tcW w:type="dxa" w:w="5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0 = ativo. A procedure só promove novos com status 0.</w:t>
            </w:r>
          </w:p>
        </w:tc>
      </w:tr>
      <w:tr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1B3D6D"/>
                <w:sz w:val="20"/>
                <w:szCs w:val="20"/>
              </w:rPr>
              <w:t xml:space="preserve">ORIGEM</w:t>
            </w:r>
          </w:p>
        </w:tc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VOKENEX</w:t>
            </w:r>
          </w:p>
        </w:tc>
        <w:tc>
          <w:tcPr>
            <w:tcW w:type="dxa" w:w="5100"/>
            <w:shd w:fill="F3F0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Marca a procedência da imagem.</w:t>
            </w:r>
          </w:p>
        </w:tc>
      </w:tr>
      <w:tr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1B3D6D"/>
                <w:sz w:val="20"/>
                <w:szCs w:val="20"/>
              </w:rPr>
              <w:t xml:space="preserve">IDVOKENEX</w:t>
            </w:r>
          </w:p>
        </w:tc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(id)</w:t>
            </w:r>
          </w:p>
        </w:tc>
        <w:tc>
          <w:tcPr>
            <w:tcW w:type="dxa" w:w="5100"/>
            <w:shd w:fill="F3F0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Id estável da imagem no VokeNext. Idempotência (não duplicar).</w:t>
            </w:r>
          </w:p>
        </w:tc>
      </w:tr>
      <w:tr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1B3D6D"/>
                <w:sz w:val="20"/>
                <w:szCs w:val="20"/>
              </w:rPr>
              <w:t xml:space="preserve">IDIMAGEMCA</w:t>
            </w:r>
          </w:p>
        </w:tc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A034…564B</w:t>
            </w:r>
          </w:p>
        </w:tc>
        <w:tc>
          <w:tcPr>
            <w:tcW w:type="dxa" w:w="5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GUID da imagem (32 hex).</w:t>
            </w:r>
          </w:p>
        </w:tc>
      </w:tr>
    </w:tbl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B3D6D"/>
          <w:sz w:val="28"/>
          <w:szCs w:val="28"/>
        </w:rPr>
        <w:t xml:space="preserve">5. Regra do CODPARC (por que é crítico)</w:t>
      </w:r>
    </w:p>
    <w:p>
      <w:pPr>
        <w:spacing w:after="12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O campo Imagem do contrato só lista imagens cujo CODPARC bate com o parceiro do contrato, resolvendo matriz. Enviar o CODPARC errado faz a imagem existir no banco mas não aparecer no contrato certo. O filtro da tela (não precisa ser alterado) é:</w:t>
      </w:r>
    </w:p>
    <w:p>
      <w:pPr>
        <w:shd w:fill="F3F0E6" w:color="auto" w:val="clear"/>
        <w:spacing w:after="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this.SEQ IN ( SELECT X.SEQ FROM AD_PLANEIMAGEM X</w:t>
      </w:r>
    </w:p>
    <w:p>
      <w:pPr>
        <w:shd w:fill="F3F0E6" w:color="auto" w:val="clear"/>
        <w:spacing w:after="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WHERE X.CODPARC = NVL((SELECT Z.CODPARCMATRIZ FROM TGFPAR Z</w:t>
      </w:r>
    </w:p>
    <w:p>
      <w:pPr>
        <w:shd w:fill="F3F0E6" w:color="auto" w:val="clear"/>
        <w:spacing w:after="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                 WHERE Z.CODPARC = form.CODPARCCON), form.CODPARCCON) ... )</w:t>
      </w:r>
    </w:p>
    <w:p>
      <w:pPr>
        <w:spacing w:before="100"/>
      </w:pPr>
      <w:r>
        <w:rPr>
          <w:rFonts w:ascii="Arial" w:cs="Arial" w:eastAsia="Arial" w:hAnsi="Arial"/>
          <w:i/>
          <w:iCs/>
          <w:color w:val="595959"/>
          <w:sz w:val="22"/>
          <w:szCs w:val="22"/>
        </w:rPr>
        <w:t xml:space="preserve">Os casos especiais de CODPARC 3508 e 5773 são tratados na própria tela — </w:t>
      </w:r>
      <w:r>
        <w:rPr>
          <w:rFonts w:ascii="Arial" w:cs="Arial" w:eastAsia="Arial" w:hAnsi="Arial"/>
          <w:b/>
          <w:bCs/>
          <w:i/>
          <w:iCs/>
          <w:color w:val="595959"/>
          <w:sz w:val="22"/>
          <w:szCs w:val="22"/>
        </w:rPr>
        <w:t xml:space="preserve">não exigem lógica no Run2Biz.</w:t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B3D6D"/>
          <w:sz w:val="28"/>
          <w:szCs w:val="28"/>
        </w:rPr>
        <w:t xml:space="preserve">6. Pendências a confirmar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Autenticação do gateway </w:t>
      </w:r>
      <w:r>
        <w:rPr>
          <w:rFonts w:ascii="Consolas" w:cs="Consolas" w:eastAsia="Consolas" w:hAnsi="Consolas"/>
          <w:color w:val="1B3D6D"/>
          <w:sz w:val="20"/>
          <w:szCs w:val="20"/>
        </w:rPr>
        <w:t xml:space="preserve">/mge/service.sbr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 (token OAuth ou login MGE).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Confirmar o formato exato do payload contra o contrato já testado no Sankhya (o exemplo acima é a forma padrão do DatasetSP.save).</w:t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B3D6D"/>
          <w:sz w:val="28"/>
          <w:szCs w:val="28"/>
        </w:rPr>
        <w:t xml:space="preserve">7. Já concluído no Sankhya (fora do escopo Run2Biz)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Campos ORIGEM, IDVOKENEX e DHINTEGRACAO criados na AD_IMPORTAIMAGEM.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Procedure SNK_PROCIMPORTARIMAGEM_CA ativa: promove a imagem para AD_PLANEIMAGEM e grava DHINTEGRACAO.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Leitura pela tela de contrato (campo Imagem) — sem alteração necessária no filtro.</w:t>
      </w:r>
    </w:p>
    <w:sectPr>
      <w:headerReference w:type="default" r:id="rId7"/>
      <w:pgSz w:w="11906" w:h="16838" w:orient="portrait"/>
      <w:pgMar w:top="2500" w:right="1100" w:bottom="17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drawing>
        <wp:anchor distT="0" distB="0" distL="0" distR="0" simplePos="0" allowOverlap="1" behindDoc="1" locked="0" layoutInCell="1" relativeHeight="10696575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2850" cy="10696575"/>
          <wp:effectExtent t="0" r="0" b="0" l="0"/>
          <wp:wrapNone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62850" cy="106965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20"/>
      </w:pPr>
      <w:rPr>
        <w:color w:val="F291D6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eee0771d3229d475d8f5a0d10c8c8c006d4ce2e5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2026-08-18T22:34:47.473Z</dcterms:created>
  <dcterms:modified xsi:type="dcterms:W3CDTF">2026-08-18T22:34:47.473Z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