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40"/>
      </w:pPr>
      <w:r>
        <w:rPr>
          <w:b/>
          <w:bCs/>
          <w:color w:val="F291D6"/>
          <w:sz w:val="20"/>
          <w:szCs w:val="20"/>
          <w:caps/>
          <w:rFonts w:ascii="Arial" w:cs="Arial" w:eastAsia="Arial" w:hAnsi="Arial"/>
        </w:rPr>
        <w:t xml:space="preserve">DOCUMENTAÇÃO DE SUBIDA EM PRODUÇÃO</w:t>
      </w:r>
    </w:p>
    <w:p>
      <w:pPr>
        <w:spacing w:after="40"/>
      </w:pPr>
      <w:r>
        <w:rPr>
          <w:b/>
          <w:bCs/>
          <w:color w:val="1B3D6D"/>
          <w:sz w:val="34"/>
          <w:szCs w:val="34"/>
          <w:rFonts w:ascii="Arial" w:cs="Arial" w:eastAsia="Arial" w:hAnsi="Arial"/>
        </w:rPr>
        <w:t xml:space="preserve">GMUD 214 — Melhorias do Fluxo de Ativação de Pedidos ITSM</w:t>
      </w:r>
    </w:p>
    <w:p>
      <w:pPr>
        <w:pBdr>
          <w:bottom w:val="single" w:color="1B3D6D" w:sz="12" w:space="6"/>
        </w:pBdr>
        <w:spacing w:after="200"/>
      </w:pPr>
      <w:r>
        <w:rPr>
          <w:color w:val="595959"/>
          <w:sz w:val="22"/>
          <w:szCs w:val="22"/>
          <w:rFonts w:ascii="Arial" w:cs="Arial" w:eastAsia="Arial" w:hAnsi="Arial"/>
        </w:rPr>
        <w:t xml:space="preserve">Integração Sankhya × VokeNext / Run2Biz (ITSM + CMDB) — Módulo 52</w:t>
      </w:r>
    </w:p>
    <w:p>
      <w:pPr>
        <w:pBdr>
          <w:bottom w:val="single" w:color="F291D6" w:sz="12" w:space="4"/>
        </w:pBdr>
        <w:spacing w:before="320" w:after="140"/>
      </w:pPr>
      <w:r>
        <w:rPr>
          <w:b/>
          <w:bCs/>
          <w:color w:val="1B3D6D"/>
          <w:sz w:val="30"/>
          <w:szCs w:val="30"/>
          <w:rFonts w:ascii="Arial" w:cs="Arial" w:eastAsia="Arial" w:hAnsi="Arial"/>
        </w:rPr>
        <w:t xml:space="preserve">1. Identificação da GMUD</w:t>
      </w:r>
    </w:p>
    <w:tbl>
      <w:tblPr>
        <w:tblW w:type="pct" w:w="100%"/>
        <w:tblBorders>
          <w:top w:val="single" w:color="C9D2DE" w:sz="4"/>
          <w:left w:val="single" w:color="C9D2DE" w:sz="4"/>
          <w:bottom w:val="single" w:color="C9D2DE" w:sz="4"/>
          <w:right w:val="single" w:color="C9D2DE" w:sz="4"/>
          <w:insideH w:val="single" w:color="C9D2DE" w:sz="4"/>
          <w:insideV w:val="single" w:color="C9D2DE" w:sz="4"/>
        </w:tblBorders>
      </w:tblPr>
      <w:tblGrid>
        <w:gridCol w:w="2496"/>
        <w:gridCol w:w="7104"/>
      </w:tblGrid>
      <w:tr>
        <w:trPr>
          <w:tblHeader/>
        </w:trPr>
        <w:tc>
          <w:tcPr>
            <w:shd w:fill="1B3D6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  <w:rFonts w:ascii="Arial" w:cs="Arial" w:eastAsia="Arial" w:hAnsi="Arial"/>
              </w:rPr>
              <w:t xml:space="preserve">Campo</w:t>
            </w:r>
          </w:p>
        </w:tc>
        <w:tc>
          <w:tcPr>
            <w:shd w:fill="1B3D6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  <w:rFonts w:ascii="Arial" w:cs="Arial" w:eastAsia="Arial" w:hAnsi="Arial"/>
              </w:rPr>
              <w:t xml:space="preserve">Informação</w:t>
            </w:r>
          </w:p>
        </w:tc>
      </w:tr>
      <w:tr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GMUD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214</w:t>
            </w:r>
          </w:p>
        </w:tc>
      </w:tr>
      <w:tr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Título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Melhorias do fluxo de ativação de pedidos ITSM — Sankhya × VokeNext (Run2Biz)</w:t>
            </w:r>
          </w:p>
        </w:tc>
      </w:tr>
      <w:tr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Módulo Sankhya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52 — Módulo Integração Run2Biz BHZ</w:t>
            </w:r>
          </w:p>
        </w:tc>
      </w:tr>
      <w:tr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Artefato principal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voke230626.jar (voke.jar / integração VokeNext)</w:t>
            </w:r>
          </w:p>
        </w:tc>
      </w:tr>
      <w:tr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Ambiente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Produção</w:t>
            </w:r>
          </w:p>
        </w:tc>
      </w:tr>
      <w:tr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Repositório (fonte da verdade)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victorfeer/DevsVoke — sankhya/java/Integração Vokenex itsm/ (espelhado no Azure DevOps voke-erp)</w:t>
            </w:r>
          </w:p>
        </w:tc>
      </w:tr>
      <w:tr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Status da homologação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color w:val="222222"/>
                <w:sz w:val="19"/>
                <w:szCs w:val="19"/>
                <w:rFonts w:ascii="Arial" w:cs="Arial" w:eastAsia="Arial" w:hAnsi="Arial"/>
              </w:rPr>
              <w:t xml:space="preserve">Subiu em PRODUÇÃO (dev). </w:t>
            </w:r>
            <w:r>
              <w:rPr>
                <w:b/>
                <w:bCs/>
                <w:color w:val="B00020"/>
                <w:sz w:val="19"/>
                <w:szCs w:val="19"/>
                <w:rFonts w:ascii="Arial" w:cs="Arial" w:eastAsia="Arial" w:hAnsi="Arial"/>
              </w:rPr>
              <w:t xml:space="preserve">PENDENTE de homologação com o usuário.</w:t>
            </w:r>
          </w:p>
        </w:tc>
      </w:tr>
      <w:tr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Data do documento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23/08/2026</w:t>
            </w:r>
          </w:p>
        </w:tc>
      </w:tr>
    </w:tbl>
    <w:p>
      <w:pPr>
        <w:pBdr>
          <w:bottom w:val="single" w:color="F291D6" w:sz="12" w:space="4"/>
        </w:pBdr>
        <w:spacing w:before="320" w:after="140"/>
      </w:pPr>
      <w:r>
        <w:rPr>
          <w:b/>
          <w:bCs/>
          <w:color w:val="1B3D6D"/>
          <w:sz w:val="30"/>
          <w:szCs w:val="30"/>
          <w:rFonts w:ascii="Arial" w:cs="Arial" w:eastAsia="Arial" w:hAnsi="Arial"/>
        </w:rPr>
        <w:t xml:space="preserve">2. Objetivo e escopo</w:t>
      </w:r>
    </w:p>
    <w:p>
      <w:pPr>
        <w:spacing w:after="100" w:line="276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Esta GMUD entrega melhorias no </w:t>
      </w:r>
      <w:r>
        <w:rPr>
          <w:b/>
          <w:bCs/>
          <w:color w:val="222222"/>
          <w:sz w:val="21"/>
          <w:szCs w:val="21"/>
          <w:rFonts w:ascii="Arial" w:cs="Arial" w:eastAsia="Arial" w:hAnsi="Arial"/>
        </w:rPr>
        <w:t xml:space="preserve">fluxo de ativação de pedidos ITSM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 da integração Sankhya × VokeNext/Run2Biz, em duas frentes: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222222"/>
          <w:sz w:val="21"/>
          <w:szCs w:val="21"/>
          <w:rFonts w:ascii="Arial" w:cs="Arial" w:eastAsia="Arial" w:hAnsi="Arial"/>
        </w:rPr>
        <w:t xml:space="preserve">Estado "Expedição" (EX) — 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novo valor de domínio do STATUSPICKING, refletindo no Gerenciamento Integração a etapa de Expedição já acionada no Run2Biz (gravada na transição NE → EX pelo ScheduleEnviarDadosNota).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222222"/>
          <w:sz w:val="21"/>
          <w:szCs w:val="21"/>
          <w:rFonts w:ascii="Arial" w:cs="Arial" w:eastAsia="Arial" w:hAnsi="Arial"/>
        </w:rPr>
        <w:t xml:space="preserve">Ação de avanço de status — 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botão "Avançar Para Preparação Finalizada" (transição EP → PF) na tela Gerenciamento Integração.</w:t>
      </w:r>
    </w:p>
    <w:p>
      <w:pPr>
        <w:spacing w:after="100" w:line="276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O documento registra o </w:t>
      </w:r>
      <w:r>
        <w:rPr>
          <w:b/>
          <w:bCs/>
          <w:color w:val="222222"/>
          <w:sz w:val="21"/>
          <w:szCs w:val="21"/>
          <w:rFonts w:ascii="Arial" w:cs="Arial" w:eastAsia="Arial" w:hAnsi="Arial"/>
        </w:rPr>
        <w:t xml:space="preserve">objeto de banco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, o </w:t>
      </w:r>
      <w:r>
        <w:rPr>
          <w:b/>
          <w:bCs/>
          <w:color w:val="222222"/>
          <w:sz w:val="21"/>
          <w:szCs w:val="21"/>
          <w:rFonts w:ascii="Arial" w:cs="Arial" w:eastAsia="Arial" w:hAnsi="Arial"/>
        </w:rPr>
        <w:t xml:space="preserve">artefato de aplicação (JAR)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, as </w:t>
      </w:r>
      <w:r>
        <w:rPr>
          <w:b/>
          <w:bCs/>
          <w:color w:val="222222"/>
          <w:sz w:val="21"/>
          <w:szCs w:val="21"/>
          <w:rFonts w:ascii="Arial" w:cs="Arial" w:eastAsia="Arial" w:hAnsi="Arial"/>
        </w:rPr>
        <w:t xml:space="preserve">ações agendadas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 do módulo, a </w:t>
      </w:r>
      <w:r>
        <w:rPr>
          <w:b/>
          <w:bCs/>
          <w:color w:val="222222"/>
          <w:sz w:val="21"/>
          <w:szCs w:val="21"/>
          <w:rFonts w:ascii="Arial" w:cs="Arial" w:eastAsia="Arial" w:hAnsi="Arial"/>
        </w:rPr>
        <w:t xml:space="preserve">ação de tela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, a </w:t>
      </w:r>
      <w:r>
        <w:rPr>
          <w:b/>
          <w:bCs/>
          <w:color w:val="222222"/>
          <w:sz w:val="21"/>
          <w:szCs w:val="21"/>
          <w:rFonts w:ascii="Arial" w:cs="Arial" w:eastAsia="Arial" w:hAnsi="Arial"/>
        </w:rPr>
        <w:t xml:space="preserve">ordem de deploy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 e as </w:t>
      </w:r>
      <w:r>
        <w:rPr>
          <w:b/>
          <w:bCs/>
          <w:color w:val="222222"/>
          <w:sz w:val="21"/>
          <w:szCs w:val="21"/>
          <w:rFonts w:ascii="Arial" w:cs="Arial" w:eastAsia="Arial" w:hAnsi="Arial"/>
        </w:rPr>
        <w:t xml:space="preserve">evidências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 coletadas na subida.</w:t>
      </w:r>
    </w:p>
    <w:p>
      <w:pPr>
        <w:pBdr>
          <w:top w:val="single" w:color="9CC79C" w:sz="4"/>
          <w:bottom w:val="single" w:color="9CC79C" w:sz="4"/>
          <w:left w:val="single" w:color="3E8E3E" w:sz="18"/>
          <w:right w:val="single" w:color="9CC79C" w:sz="4"/>
        </w:pBdr>
        <w:shd w:fill="EEF6EE" w:val="clear"/>
        <w:spacing w:before="80" w:after="120"/>
      </w:pPr>
      <w:r>
        <w:rPr>
          <w:b/>
          <w:bCs/>
          <w:color w:val="2A6A2A"/>
          <w:sz w:val="19"/>
          <w:szCs w:val="19"/>
          <w:rFonts w:ascii="Arial" w:cs="Arial" w:eastAsia="Arial" w:hAnsi="Arial"/>
        </w:rPr>
        <w:t xml:space="preserve">Fora de escopo desta GMUD: </w:t>
      </w:r>
      <w:r>
        <w:rPr>
          <w:color w:val="2A5A2A"/>
          <w:sz w:val="19"/>
          <w:szCs w:val="19"/>
          <w:rFonts w:ascii="Arial" w:cs="Arial" w:eastAsia="Arial" w:hAnsi="Arial"/>
        </w:rPr>
        <w:t xml:space="preserve">a melhoria de Data de Preparação (envio da data ao chamado) está sendo tratada em uma US separada e não faz parte desta subida.</w:t>
      </w:r>
    </w:p>
    <w:p>
      <w:pPr>
        <w:pBdr>
          <w:bottom w:val="single" w:color="F291D6" w:sz="12" w:space="4"/>
        </w:pBdr>
        <w:spacing w:before="320" w:after="140"/>
      </w:pPr>
      <w:r>
        <w:rPr>
          <w:b/>
          <w:bCs/>
          <w:color w:val="1B3D6D"/>
          <w:sz w:val="30"/>
          <w:szCs w:val="30"/>
          <w:rFonts w:ascii="Arial" w:cs="Arial" w:eastAsia="Arial" w:hAnsi="Arial"/>
        </w:rPr>
        <w:t xml:space="preserve">3. Visão do fluxo de ativação</w:t>
      </w:r>
    </w:p>
    <w:p>
      <w:pPr>
        <w:spacing w:after="100" w:line="276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A ativação segue a máquina de estados do picking (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AD_TGFINTE.STATUSPICKING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), do início da separação até a expedição, alimentando o Run2Biz a cada transição via schedules do módulo 52:</w:t>
      </w:r>
    </w:p>
    <w:p>
      <w:pPr>
        <w:spacing w:before="80" w:after="40"/>
        <w:jc w:val="center"/>
      </w:pPr>
      <w:r>
        <w:drawing>
          <wp:inline distT="0" distB="0" distL="0" distR="0">
            <wp:extent cx="609600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iCs/>
          <w:color w:val="595959"/>
          <w:sz w:val="18"/>
          <w:szCs w:val="18"/>
          <w:rFonts w:ascii="Arial" w:cs="Arial" w:eastAsia="Arial" w:hAnsi="Arial"/>
        </w:rPr>
        <w:t xml:space="preserve">Figura — Fluxo de ativação de pedidos Sankhya × VokeNext (visão geral).</w:t>
      </w:r>
    </w:p>
    <w:p>
      <w:pPr>
        <w:spacing w:after="100" w:line="276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Máquina de estados completa do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STATUSPICKING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 após a subida (o valor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EX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 = Expedição é o estado novo desta GMUD):</w:t>
      </w:r>
    </w:p>
    <w:tbl>
      <w:tblPr>
        <w:tblW w:type="pct" w:w="100%"/>
        <w:tblBorders>
          <w:top w:val="single" w:color="C9D2DE" w:sz="4"/>
          <w:left w:val="single" w:color="C9D2DE" w:sz="4"/>
          <w:bottom w:val="single" w:color="C9D2DE" w:sz="4"/>
          <w:right w:val="single" w:color="C9D2DE" w:sz="4"/>
          <w:insideH w:val="single" w:color="C9D2DE" w:sz="4"/>
          <w:insideV w:val="single" w:color="C9D2DE" w:sz="4"/>
        </w:tblBorders>
      </w:tblPr>
      <w:tblGrid>
        <w:gridCol w:w="1536"/>
        <w:gridCol w:w="6144"/>
        <w:gridCol w:w="1920"/>
      </w:tblGrid>
      <w:tr>
        <w:trPr>
          <w:tblHeader/>
        </w:trPr>
        <w:tc>
          <w:tcPr>
            <w:shd w:fill="1B3D6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  <w:rFonts w:ascii="Arial" w:cs="Arial" w:eastAsia="Arial" w:hAnsi="Arial"/>
              </w:rPr>
              <w:t xml:space="preserve">Valor</w:t>
            </w:r>
          </w:p>
        </w:tc>
        <w:tc>
          <w:tcPr>
            <w:shd w:fill="1B3D6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  <w:rFonts w:ascii="Arial" w:cs="Arial" w:eastAsia="Arial" w:hAnsi="Arial"/>
              </w:rPr>
              <w:t xml:space="preserve">Descrição</w:t>
            </w:r>
          </w:p>
        </w:tc>
        <w:tc>
          <w:tcPr>
            <w:shd w:fill="1B3D6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  <w:rFonts w:ascii="Arial" w:cs="Arial" w:eastAsia="Arial" w:hAnsi="Arial"/>
              </w:rPr>
              <w:t xml:space="preserve">Ordem</w:t>
            </w:r>
          </w:p>
        </w:tc>
      </w:tr>
      <w:tr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ES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Em Separação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1</w:t>
            </w:r>
          </w:p>
        </w:tc>
      </w:tr>
      <w:tr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SF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Separação Finalizada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2</w:t>
            </w:r>
          </w:p>
        </w:tc>
      </w:tr>
      <w:tr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EP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Em Preparação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3</w:t>
            </w:r>
          </w:p>
        </w:tc>
      </w:tr>
      <w:tr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PF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Preparação Finalizada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4</w:t>
            </w:r>
          </w:p>
        </w:tc>
      </w:tr>
      <w:tr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PI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Packing Iniciado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5</w:t>
            </w:r>
          </w:p>
        </w:tc>
      </w:tr>
      <w:tr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PAF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Packing Finalizado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6</w:t>
            </w:r>
          </w:p>
        </w:tc>
      </w:tr>
      <w:tr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NE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Nota em andamento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7</w:t>
            </w:r>
          </w:p>
        </w:tc>
      </w:tr>
      <w:tr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/>
                <w:bCs/>
                <w:color w:val="1B3D6D"/>
                <w:sz w:val="19"/>
                <w:szCs w:val="19"/>
                <w:rFonts w:ascii="Arial" w:cs="Arial" w:eastAsia="Arial" w:hAnsi="Arial"/>
              </w:rPr>
              <w:t xml:space="preserve">EX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/>
                <w:bCs/>
                <w:color w:val="1B3D6D"/>
                <w:sz w:val="19"/>
                <w:szCs w:val="19"/>
                <w:rFonts w:ascii="Arial" w:cs="Arial" w:eastAsia="Arial" w:hAnsi="Arial"/>
              </w:rPr>
              <w:t xml:space="preserve">Expedição  (novo)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8</w:t>
            </w:r>
          </w:p>
        </w:tc>
      </w:tr>
    </w:tbl>
    <w:p>
      <w:pPr>
        <w:pBdr>
          <w:bottom w:val="single" w:color="F291D6" w:sz="12" w:space="4"/>
        </w:pBdr>
        <w:spacing w:before="320" w:after="140"/>
      </w:pPr>
      <w:r>
        <w:rPr>
          <w:b/>
          <w:bCs/>
          <w:color w:val="1B3D6D"/>
          <w:sz w:val="30"/>
          <w:szCs w:val="30"/>
          <w:rFonts w:ascii="Arial" w:cs="Arial" w:eastAsia="Arial" w:hAnsi="Arial"/>
        </w:rPr>
        <w:t xml:space="preserve">4. Artefato de aplicação (JAR)</w:t>
      </w:r>
    </w:p>
    <w:p>
      <w:pPr>
        <w:spacing w:after="100" w:line="276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O JAR da integração foi subido no cadastro de Módulos do Sankhya, módulo 52 — Modulo Integração Run2Biz BHZ, na aba Arquivo Módulo (Jar):</w:t>
      </w:r>
    </w:p>
    <w:tbl>
      <w:tblPr>
        <w:tblW w:type="pct" w:w="100%"/>
        <w:tblBorders>
          <w:top w:val="single" w:color="C9D2DE" w:sz="4"/>
          <w:left w:val="single" w:color="C9D2DE" w:sz="4"/>
          <w:bottom w:val="single" w:color="C9D2DE" w:sz="4"/>
          <w:right w:val="single" w:color="C9D2DE" w:sz="4"/>
          <w:insideH w:val="single" w:color="C9D2DE" w:sz="4"/>
          <w:insideV w:val="single" w:color="C9D2DE" w:sz="4"/>
        </w:tblBorders>
      </w:tblPr>
      <w:tblGrid>
        <w:gridCol w:w="2112"/>
        <w:gridCol w:w="3840"/>
        <w:gridCol w:w="3648"/>
      </w:tblGrid>
      <w:tr>
        <w:trPr>
          <w:tblHeader/>
        </w:trPr>
        <w:tc>
          <w:tcPr>
            <w:shd w:fill="1B3D6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  <w:rFonts w:ascii="Arial" w:cs="Arial" w:eastAsia="Arial" w:hAnsi="Arial"/>
              </w:rPr>
              <w:t xml:space="preserve">Identificador</w:t>
            </w:r>
          </w:p>
        </w:tc>
        <w:tc>
          <w:tcPr>
            <w:shd w:fill="1B3D6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  <w:rFonts w:ascii="Arial" w:cs="Arial" w:eastAsia="Arial" w:hAnsi="Arial"/>
              </w:rPr>
              <w:t xml:space="preserve">Nome do Arquivo</w:t>
            </w:r>
          </w:p>
        </w:tc>
        <w:tc>
          <w:tcPr>
            <w:shd w:fill="1B3D6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  <w:rFonts w:ascii="Arial" w:cs="Arial" w:eastAsia="Arial" w:hAnsi="Arial"/>
              </w:rPr>
              <w:t xml:space="preserve">Observação</w:t>
            </w:r>
          </w:p>
        </w:tc>
      </w:tr>
      <w:tr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okhttp-3.14.9.jar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Dependência (cliente HTTP)</w:t>
            </w:r>
          </w:p>
        </w:tc>
      </w:tr>
      <w:tr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2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okio-1.17.5.jar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Dependência do okhttp</w:t>
            </w:r>
          </w:p>
        </w:tc>
      </w:tr>
      <w:tr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/>
                <w:bCs/>
                <w:color w:val="1B3D6D"/>
                <w:sz w:val="19"/>
                <w:szCs w:val="19"/>
                <w:rFonts w:ascii="Arial" w:cs="Arial" w:eastAsia="Arial" w:hAnsi="Arial"/>
              </w:rPr>
              <w:t xml:space="preserve">3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/>
                <w:bCs/>
                <w:color w:val="1B3D6D"/>
                <w:sz w:val="19"/>
                <w:szCs w:val="19"/>
                <w:rFonts w:ascii="Arial" w:cs="Arial" w:eastAsia="Arial" w:hAnsi="Arial"/>
              </w:rPr>
              <w:t xml:space="preserve">voke230626.jar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/>
                <w:bCs/>
                <w:color w:val="1B3D6D"/>
                <w:sz w:val="19"/>
                <w:szCs w:val="19"/>
                <w:rFonts w:ascii="Arial" w:cs="Arial" w:eastAsia="Arial" w:hAnsi="Arial"/>
              </w:rPr>
              <w:t xml:space="preserve">Artefato desta GMUD (voke.jar)</w:t>
            </w:r>
          </w:p>
        </w:tc>
      </w:tr>
    </w:tbl>
    <w:p>
      <w:pPr>
        <w:pBdr>
          <w:bottom w:val="single" w:color="F291D6" w:sz="12" w:space="4"/>
        </w:pBdr>
        <w:spacing w:before="320" w:after="140"/>
      </w:pPr>
      <w:r>
        <w:rPr>
          <w:b/>
          <w:bCs/>
          <w:color w:val="1B3D6D"/>
          <w:sz w:val="30"/>
          <w:szCs w:val="30"/>
          <w:rFonts w:ascii="Arial" w:cs="Arial" w:eastAsia="Arial" w:hAnsi="Arial"/>
        </w:rPr>
        <w:t xml:space="preserve">5. Objeto de banco subido</w:t>
      </w:r>
    </w:p>
    <w:p>
      <w:pPr>
        <w:spacing w:after="100" w:line="276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Objeto versionado em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voke/src/main/procedures/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 e aplicado no banco de produção como pré-requisito do JAR:</w:t>
      </w:r>
    </w:p>
    <w:tbl>
      <w:tblPr>
        <w:tblW w:type="pct" w:w="100%"/>
        <w:tblBorders>
          <w:top w:val="single" w:color="C9D2DE" w:sz="4"/>
          <w:left w:val="single" w:color="C9D2DE" w:sz="4"/>
          <w:bottom w:val="single" w:color="C9D2DE" w:sz="4"/>
          <w:right w:val="single" w:color="C9D2DE" w:sz="4"/>
          <w:insideH w:val="single" w:color="C9D2DE" w:sz="4"/>
          <w:insideV w:val="single" w:color="C9D2DE" w:sz="4"/>
        </w:tblBorders>
      </w:tblPr>
      <w:tblGrid>
        <w:gridCol w:w="576"/>
        <w:gridCol w:w="2880"/>
        <w:gridCol w:w="1920"/>
        <w:gridCol w:w="4224"/>
      </w:tblGrid>
      <w:tr>
        <w:trPr>
          <w:tblHeader/>
        </w:trPr>
        <w:tc>
          <w:tcPr>
            <w:shd w:fill="1B3D6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  <w:rFonts w:ascii="Arial" w:cs="Arial" w:eastAsia="Arial" w:hAnsi="Arial"/>
              </w:rPr>
              <w:t xml:space="preserve">#</w:t>
            </w:r>
          </w:p>
        </w:tc>
        <w:tc>
          <w:tcPr>
            <w:shd w:fill="1B3D6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  <w:rFonts w:ascii="Arial" w:cs="Arial" w:eastAsia="Arial" w:hAnsi="Arial"/>
              </w:rPr>
              <w:t xml:space="preserve">Objeto</w:t>
            </w:r>
          </w:p>
        </w:tc>
        <w:tc>
          <w:tcPr>
            <w:shd w:fill="1B3D6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  <w:rFonts w:ascii="Arial" w:cs="Arial" w:eastAsia="Arial" w:hAnsi="Arial"/>
              </w:rPr>
              <w:t xml:space="preserve">Tipo</w:t>
            </w:r>
          </w:p>
        </w:tc>
        <w:tc>
          <w:tcPr>
            <w:shd w:fill="1B3D6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  <w:rFonts w:ascii="Arial" w:cs="Arial" w:eastAsia="Arial" w:hAnsi="Arial"/>
              </w:rPr>
              <w:t xml:space="preserve">Descrição</w:t>
            </w:r>
          </w:p>
        </w:tc>
      </w:tr>
      <w:tr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sz w:val="17"/>
                <w:szCs w:val="17"/>
                <w:rFonts w:ascii="Consolas" w:cs="Consolas" w:eastAsia="Consolas" w:hAnsi="Consolas"/>
              </w:rPr>
              <w:t xml:space="preserve">AD_TGFINTE.STATUSPICKING → opção EX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Opção de domínio (TDDOPC)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Cadastra o valor EX = 'Expedição' (ordem 8, após NE). Sem ele, o 'EX' gravado pelo ScheduleEnviarDadosNota (guarda NE → EX) apareceria em branco/inválido na tela Gerenciamento Integração. Script idempotente: DOMINIO_STATUSPICKING_EX.sql</w:t>
            </w:r>
          </w:p>
        </w:tc>
      </w:tr>
    </w:tbl>
    <w:p>
      <w:pPr>
        <w:spacing w:after="100" w:line="276"/>
      </w:pPr>
      <w:r>
        <w:rPr>
          <w:b/>
          <w:bCs/>
          <w:color w:val="222222"/>
          <w:sz w:val="21"/>
          <w:szCs w:val="21"/>
          <w:rFonts w:ascii="Arial" w:cs="Arial" w:eastAsia="Arial" w:hAnsi="Arial"/>
        </w:rPr>
        <w:t xml:space="preserve">Tabelas tocadas: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TDDCAM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 /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TDDOPC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 (cadastro da opção de domínio do campo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AD_TGFINTE.STATUSPICKING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).</w:t>
      </w:r>
    </w:p>
    <w:p>
      <w:pPr>
        <w:pBdr>
          <w:bottom w:val="single" w:color="F291D6" w:sz="12" w:space="4"/>
        </w:pBdr>
        <w:spacing w:before="320" w:after="140"/>
      </w:pPr>
      <w:r>
        <w:rPr>
          <w:b/>
          <w:bCs/>
          <w:color w:val="1B3D6D"/>
          <w:sz w:val="30"/>
          <w:szCs w:val="30"/>
          <w:rFonts w:ascii="Arial" w:cs="Arial" w:eastAsia="Arial" w:hAnsi="Arial"/>
        </w:rPr>
        <w:t xml:space="preserve">6. Ações agendadas (schedules) — módulo 52</w:t>
      </w:r>
    </w:p>
    <w:p>
      <w:pPr>
        <w:spacing w:after="100" w:line="276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Ações agendadas ativas do módulo 52 após a subida (Tipo de ação: Java). A gravação do estado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EX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 ocorre na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ScheduleEnviarDadosNota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 (nº 176):</w:t>
      </w:r>
    </w:p>
    <w:tbl>
      <w:tblPr>
        <w:tblW w:type="pct" w:w="100%"/>
        <w:tblBorders>
          <w:top w:val="single" w:color="C9D2DE" w:sz="4"/>
          <w:left w:val="single" w:color="C9D2DE" w:sz="4"/>
          <w:bottom w:val="single" w:color="C9D2DE" w:sz="4"/>
          <w:right w:val="single" w:color="C9D2DE" w:sz="4"/>
          <w:insideH w:val="single" w:color="C9D2DE" w:sz="4"/>
          <w:insideV w:val="single" w:color="C9D2DE" w:sz="4"/>
        </w:tblBorders>
      </w:tblPr>
      <w:tblGrid>
        <w:gridCol w:w="960"/>
        <w:gridCol w:w="4032"/>
        <w:gridCol w:w="4608"/>
      </w:tblGrid>
      <w:tr>
        <w:trPr>
          <w:tblHeader/>
        </w:trPr>
        <w:tc>
          <w:tcPr>
            <w:shd w:fill="1B3D6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  <w:rFonts w:ascii="Arial" w:cs="Arial" w:eastAsia="Arial" w:hAnsi="Arial"/>
              </w:rPr>
              <w:t xml:space="preserve">Nº</w:t>
            </w:r>
          </w:p>
        </w:tc>
        <w:tc>
          <w:tcPr>
            <w:shd w:fill="1B3D6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  <w:rFonts w:ascii="Arial" w:cs="Arial" w:eastAsia="Arial" w:hAnsi="Arial"/>
              </w:rPr>
              <w:t xml:space="preserve">Nome</w:t>
            </w:r>
          </w:p>
        </w:tc>
        <w:tc>
          <w:tcPr>
            <w:shd w:fill="1B3D6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/>
                <w:bCs/>
                <w:color w:val="FFFFFF"/>
                <w:sz w:val="19"/>
                <w:szCs w:val="19"/>
                <w:rFonts w:ascii="Arial" w:cs="Arial" w:eastAsia="Arial" w:hAnsi="Arial"/>
              </w:rPr>
              <w:t xml:space="preserve">Classe (Ação)</w:t>
            </w:r>
          </w:p>
        </w:tc>
      </w:tr>
      <w:tr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166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Envio de pedidos Run2Biz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sz w:val="17"/>
                <w:szCs w:val="17"/>
                <w:rFonts w:ascii="Consolas" w:cs="Consolas" w:eastAsia="Consolas" w:hAnsi="Consolas"/>
              </w:rPr>
              <w:t xml:space="preserve">voke.schedule.ScheduleEnviarPedidosITSM</w:t>
            </w:r>
          </w:p>
        </w:tc>
      </w:tr>
      <w:tr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167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Avançar etapa em separação R2B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sz w:val="17"/>
                <w:szCs w:val="17"/>
                <w:rFonts w:ascii="Consolas" w:cs="Consolas" w:eastAsia="Consolas" w:hAnsi="Consolas"/>
              </w:rPr>
              <w:t xml:space="preserve">voke.schedule.ScheduleSeparacaoFinalizada</w:t>
            </w:r>
          </w:p>
        </w:tc>
      </w:tr>
      <w:tr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168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Avançar etapa em preparação R2B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sz w:val="17"/>
                <w:szCs w:val="17"/>
                <w:rFonts w:ascii="Consolas" w:cs="Consolas" w:eastAsia="Consolas" w:hAnsi="Consolas"/>
              </w:rPr>
              <w:t xml:space="preserve">voke.schedule.SchedulePreparacaoFinalizada</w:t>
            </w:r>
          </w:p>
        </w:tc>
      </w:tr>
      <w:tr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169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Avançar etapa packing R2B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sz w:val="17"/>
                <w:szCs w:val="17"/>
                <w:rFonts w:ascii="Consolas" w:cs="Consolas" w:eastAsia="Consolas" w:hAnsi="Consolas"/>
              </w:rPr>
              <w:t xml:space="preserve">voke.schedule.SchedulePackingFinalizado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171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Enviar Cancelamentos R2B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sz w:val="17"/>
                <w:szCs w:val="17"/>
                <w:rFonts w:ascii="Consolas" w:cs="Consolas" w:eastAsia="Consolas" w:hAnsi="Consolas"/>
              </w:rPr>
              <w:t xml:space="preserve">voke.schedule.ScheduleCancelarChamado</w:t>
            </w:r>
          </w:p>
        </w:tc>
      </w:tr>
      <w:tr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172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Integração CMDB (Hardware)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sz w:val="17"/>
                <w:szCs w:val="17"/>
                <w:rFonts w:ascii="Consolas" w:cs="Consolas" w:eastAsia="Consolas" w:hAnsi="Consolas"/>
              </w:rPr>
              <w:t xml:space="preserve">voke.schedule.ScheduleChecarHardwareCMDB</w:t>
            </w:r>
          </w:p>
        </w:tc>
      </w:tr>
      <w:tr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173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Integração CMDB (Empresa/Parceiro)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sz w:val="17"/>
                <w:szCs w:val="17"/>
                <w:rFonts w:ascii="Consolas" w:cs="Consolas" w:eastAsia="Consolas" w:hAnsi="Consolas"/>
              </w:rPr>
              <w:t xml:space="preserve">voke.schedule.ScheduleChecarEmpresaCMDB</w:t>
            </w:r>
          </w:p>
        </w:tc>
      </w:tr>
      <w:tr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174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Integração CMDB (Contrato)</w:t>
            </w:r>
          </w:p>
        </w:tc>
        <w:tc>
          <w:tcPr>
            <w:shd w:fill="EEF2F7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sz w:val="17"/>
                <w:szCs w:val="17"/>
                <w:rFonts w:ascii="Consolas" w:cs="Consolas" w:eastAsia="Consolas" w:hAnsi="Consolas"/>
              </w:rPr>
              <w:t xml:space="preserve">voke.schedule.ScheduleChecarContratoCMDB</w:t>
            </w:r>
          </w:p>
        </w:tc>
      </w:tr>
      <w:tr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176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  <w:rFonts w:ascii="Arial" w:cs="Arial" w:eastAsia="Arial" w:hAnsi="Arial"/>
              </w:rPr>
              <w:t xml:space="preserve">Enviar Dados da Nota para o ITSM R2B</w:t>
            </w:r>
          </w:p>
        </w:tc>
        <w:tc>
          <w:tcPr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sz w:val="17"/>
                <w:szCs w:val="17"/>
                <w:rFonts w:ascii="Consolas" w:cs="Consolas" w:eastAsia="Consolas" w:hAnsi="Consolas"/>
              </w:rPr>
              <w:t xml:space="preserve">voke.schedule.ScheduleEnviarDadosNota</w:t>
            </w:r>
          </w:p>
        </w:tc>
      </w:tr>
    </w:tbl>
    <w:p>
      <w:pPr>
        <w:pBdr>
          <w:bottom w:val="single" w:color="F291D6" w:sz="12" w:space="4"/>
        </w:pBdr>
        <w:spacing w:before="320" w:after="140"/>
      </w:pPr>
      <w:r>
        <w:rPr>
          <w:b/>
          <w:bCs/>
          <w:color w:val="1B3D6D"/>
          <w:sz w:val="30"/>
          <w:szCs w:val="30"/>
          <w:rFonts w:ascii="Arial" w:cs="Arial" w:eastAsia="Arial" w:hAnsi="Arial"/>
        </w:rPr>
        <w:t xml:space="preserve">7. Ação "Avançar Para Preparação Finalizada" (EP → PF)</w:t>
      </w:r>
    </w:p>
    <w:p>
      <w:pPr>
        <w:spacing w:after="100" w:line="276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Botão de ação (Script JavaScript) na tela Gerenciamento Integração (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AD_TGFINTE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), com guarda de status: só avança pedidos em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EP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 (Em Preparação) para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PF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 (Preparação Finalizada); os demais recebem mensagem de erro por linha.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4F4F4" w:val="clear"/>
        <w:spacing w:before="80" w:after="120"/>
      </w:pPr>
      <w:r>
        <w:rPr>
          <w:color w:val="1A1A1A"/>
          <w:sz w:val="19"/>
          <w:szCs w:val="19"/>
          <w:rFonts w:ascii="Consolas" w:cs="Consolas" w:eastAsia="Consolas" w:hAnsi="Consolas"/>
        </w:rPr>
        <w:t xml:space="preserve">for (var i = 0; i &lt; linhas.length; i++) {</w:t>
      </w:r>
      <w:r>
        <w:br/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    var linha = linhas[i];</w:t>
      </w:r>
      <w:r>
        <w:br/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    var statusAtual = linha.getCampo("STATUSPICKING");</w:t>
      </w:r>
      <w:r>
        <w:br/>
      </w:r>
      <w:r>
        <w:rPr>
          <w:color w:val="1A1A1A"/>
          <w:sz w:val="19"/>
          <w:szCs w:val="19"/>
          <w:rFonts w:ascii="Consolas" w:cs="Consolas" w:eastAsia="Consolas" w:hAnsi="Consolas"/>
        </w:rPr>
      </w:r>
      <w:r>
        <w:br/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    if (statusAtual == "EP") {</w:t>
      </w:r>
      <w:r>
        <w:br/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        linha.setCampo("STATUSPICKING", "PF");</w:t>
      </w:r>
      <w:r>
        <w:br/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    } else {</w:t>
      </w:r>
      <w:r>
        <w:br/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        mostraErro("O pedido " + linha.getCampo("NUNOTA") +</w:t>
      </w:r>
      <w:r>
        <w:br/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                   " não está em Em Preparação (status atual: " + statusAtual + ").");</w:t>
      </w:r>
      <w:r>
        <w:br/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    }</w:t>
      </w:r>
      <w:r>
        <w:br/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}</w:t>
      </w:r>
      <w:r>
        <w:br/>
      </w:r>
      <w:r>
        <w:rPr>
          <w:color w:val="1A1A1A"/>
          <w:sz w:val="19"/>
          <w:szCs w:val="19"/>
          <w:rFonts w:ascii="Consolas" w:cs="Consolas" w:eastAsia="Consolas" w:hAnsi="Consolas"/>
        </w:rPr>
      </w:r>
      <w:r>
        <w:br/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mensagem = "Preparação finalizada com sucesso.";</w:t>
      </w:r>
    </w:p>
    <w:p>
      <w:pPr>
        <w:pBdr>
          <w:bottom w:val="single" w:color="F291D6" w:sz="12" w:space="4"/>
        </w:pBdr>
        <w:spacing w:before="320" w:after="140"/>
      </w:pPr>
      <w:r>
        <w:rPr>
          <w:b/>
          <w:bCs/>
          <w:color w:val="1B3D6D"/>
          <w:sz w:val="30"/>
          <w:szCs w:val="30"/>
          <w:rFonts w:ascii="Arial" w:cs="Arial" w:eastAsia="Arial" w:hAnsi="Arial"/>
        </w:rPr>
        <w:t xml:space="preserve">8. Ordem de deploy e rollback</w:t>
      </w:r>
    </w:p>
    <w:p>
      <w:pPr>
        <w:spacing w:before="220" w:after="100"/>
      </w:pPr>
      <w:r>
        <w:rPr>
          <w:b/>
          <w:bCs/>
          <w:color w:val="1B3D6D"/>
          <w:sz w:val="24"/>
          <w:szCs w:val="24"/>
          <w:rFonts w:ascii="Arial" w:cs="Arial" w:eastAsia="Arial" w:hAnsi="Arial"/>
        </w:rPr>
        <w:t xml:space="preserve">Ordem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Cadastrar a opção de domínio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EX = Expedição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 em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AD_TGFINTE.STATUSPICKING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 (objeto #1) — script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DOMINIO_STATUSPICKING_EX.sql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Subir o JAR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voke230626.jar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 no módulo 52.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Configurar / validar a ação de tela </w:t>
      </w:r>
      <w:r>
        <w:rPr>
          <w:b/>
          <w:bCs/>
          <w:color w:val="222222"/>
          <w:sz w:val="21"/>
          <w:szCs w:val="21"/>
          <w:rFonts w:ascii="Arial" w:cs="Arial" w:eastAsia="Arial" w:hAnsi="Arial"/>
        </w:rPr>
        <w:t xml:space="preserve">"Avançar Para Preparação Finalizada"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 (EP → PF) na tela Gerenciamento Integração.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Conferir as ações agendadas do módulo 52 (todas ativas).</w:t>
      </w:r>
    </w:p>
    <w:p>
      <w:pPr>
        <w:spacing w:after="100" w:line="276"/>
      </w:pPr>
      <w:r>
        <w:rPr>
          <w:b/>
          <w:bCs/>
          <w:color w:val="222222"/>
          <w:sz w:val="21"/>
          <w:szCs w:val="21"/>
          <w:rFonts w:ascii="Arial" w:cs="Arial" w:eastAsia="Arial" w:hAnsi="Arial"/>
        </w:rPr>
        <w:t xml:space="preserve">Motivo da ordem: 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o valor de domínio EX precisa existir antes do JAR — a tela Gerenciamento Integração depende dele para exibir corretamente o status gravado como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EX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.</w:t>
      </w:r>
    </w:p>
    <w:p>
      <w:pPr>
        <w:spacing w:before="220" w:after="100"/>
      </w:pPr>
      <w:r>
        <w:rPr>
          <w:b/>
          <w:bCs/>
          <w:color w:val="1B3D6D"/>
          <w:sz w:val="24"/>
          <w:szCs w:val="24"/>
          <w:rFonts w:ascii="Arial" w:cs="Arial" w:eastAsia="Arial" w:hAnsi="Arial"/>
        </w:rPr>
        <w:t xml:space="preserve">Rollback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222222"/>
          <w:sz w:val="21"/>
          <w:szCs w:val="21"/>
          <w:rFonts w:ascii="Arial" w:cs="Arial" w:eastAsia="Arial" w:hAnsi="Arial"/>
        </w:rPr>
        <w:t xml:space="preserve">Aplicação: 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restaurar o JAR anterior no módulo 52 (o histórico de versões do módulo permite retornar ao artefato prévio).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222222"/>
          <w:sz w:val="21"/>
          <w:szCs w:val="21"/>
          <w:rFonts w:ascii="Arial" w:cs="Arial" w:eastAsia="Arial" w:hAnsi="Arial"/>
        </w:rPr>
        <w:t xml:space="preserve">Banco: 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a opção de domínio EX é aditiva e idempotente — não exige reversão para o fluxo antigo voltar a operar.</w:t>
      </w:r>
    </w:p>
    <w:p>
      <w:r>
        <w:br w:type="page"/>
      </w:r>
    </w:p>
    <w:p>
      <w:pPr>
        <w:pBdr>
          <w:bottom w:val="single" w:color="F291D6" w:sz="12" w:space="4"/>
        </w:pBdr>
        <w:spacing w:before="320" w:after="140"/>
      </w:pPr>
      <w:r>
        <w:rPr>
          <w:b/>
          <w:bCs/>
          <w:color w:val="1B3D6D"/>
          <w:sz w:val="30"/>
          <w:szCs w:val="30"/>
          <w:rFonts w:ascii="Arial" w:cs="Arial" w:eastAsia="Arial" w:hAnsi="Arial"/>
        </w:rPr>
        <w:t xml:space="preserve">9. Evidências da subida (Produção)</w:t>
      </w:r>
    </w:p>
    <w:p>
      <w:pPr>
        <w:spacing w:after="100" w:line="276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Prints coletados na subida em produção. </w:t>
      </w:r>
      <w:r>
        <w:rPr>
          <w:i/>
          <w:iCs/>
          <w:color w:val="595959"/>
          <w:sz w:val="21"/>
          <w:szCs w:val="21"/>
          <w:rFonts w:ascii="Arial" w:cs="Arial" w:eastAsia="Arial" w:hAnsi="Arial"/>
        </w:rPr>
        <w:t xml:space="preserve">Cole cada imagem no espaço reservado correspondente.</w:t>
      </w:r>
    </w:p>
    <w:p>
      <w:pPr>
        <w:spacing w:before="220" w:after="100"/>
      </w:pPr>
      <w:r>
        <w:rPr>
          <w:b/>
          <w:bCs/>
          <w:color w:val="1B3D6D"/>
          <w:sz w:val="24"/>
          <w:szCs w:val="24"/>
          <w:rFonts w:ascii="Arial" w:cs="Arial" w:eastAsia="Arial" w:hAnsi="Arial"/>
        </w:rPr>
        <w:t xml:space="preserve">Evidência 1 — Módulo 52: JAR voke230626.jar</w:t>
      </w:r>
    </w:p>
    <w:p>
      <w:pPr>
        <w:spacing w:after="100" w:line="276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Cadastro de Módulos → 52 - Modulo Integração Run2Biz BHZ → aba Arquivo Módulo (Jar). Artefato voke230626.jar (identificador 3) aplicado.</w:t>
      </w:r>
    </w:p>
    <w:tbl>
      <w:tblPr>
        <w:tblW w:type="pct" w:w="100%"/>
        <w:tblBorders>
          <w:top w:val="dashed" w:color="1B3D6D" w:sz="6"/>
          <w:left w:val="dashed" w:color="1B3D6D" w:sz="6"/>
          <w:bottom w:val="dashed" w:color="1B3D6D" w:sz="6"/>
          <w:right w:val="dashed" w:color="1B3D6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CFE" w:val="clear"/>
            <w:tcMar>
              <w:top w:type="dxa" w:w="400"/>
              <w:left w:type="dxa" w:w="200"/>
              <w:bottom w:type="dxa" w:w="40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1B3D6D"/>
                <w:sz w:val="20"/>
                <w:szCs w:val="20"/>
                <w:rFonts w:ascii="Arial" w:cs="Arial" w:eastAsia="Arial" w:hAnsi="Arial"/>
              </w:rPr>
              <w:t xml:space="preserve">🖼  Cole aqui o print</w:t>
            </w:r>
          </w:p>
          <w:p>
            <w:pPr>
              <w:jc w:val="center"/>
            </w:pPr>
            <w:r>
              <w:rPr>
                <w:i/>
                <w:iCs/>
                <w:color w:val="595959"/>
                <w:sz w:val="18"/>
                <w:szCs w:val="18"/>
                <w:rFonts w:ascii="Arial" w:cs="Arial" w:eastAsia="Arial" w:hAnsi="Arial"/>
              </w:rPr>
              <w:t xml:space="preserve">Evidência 1 — Módulo 52: JAR voke230626.jar</w:t>
            </w:r>
          </w:p>
        </w:tc>
      </w:tr>
    </w:tbl>
    <w:p>
      <w:pPr>
        <w:spacing w:after="60"/>
      </w:pPr>
    </w:p>
    <w:p>
      <w:pPr>
        <w:spacing w:before="220" w:after="100"/>
      </w:pPr>
      <w:r>
        <w:rPr>
          <w:b/>
          <w:bCs/>
          <w:color w:val="1B3D6D"/>
          <w:sz w:val="24"/>
          <w:szCs w:val="24"/>
          <w:rFonts w:ascii="Arial" w:cs="Arial" w:eastAsia="Arial" w:hAnsi="Arial"/>
        </w:rPr>
        <w:t xml:space="preserve">Evidência 2 — Ações Agendadas do módulo 52</w:t>
      </w:r>
    </w:p>
    <w:p>
      <w:pPr>
        <w:spacing w:after="100" w:line="276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Administração do Serviço → Ações Agendadas, filtro Cód. módulo = 52. Schedules da integração ativos (166–176).</w:t>
      </w:r>
    </w:p>
    <w:tbl>
      <w:tblPr>
        <w:tblW w:type="pct" w:w="100%"/>
        <w:tblBorders>
          <w:top w:val="dashed" w:color="1B3D6D" w:sz="6"/>
          <w:left w:val="dashed" w:color="1B3D6D" w:sz="6"/>
          <w:bottom w:val="dashed" w:color="1B3D6D" w:sz="6"/>
          <w:right w:val="dashed" w:color="1B3D6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CFE" w:val="clear"/>
            <w:tcMar>
              <w:top w:type="dxa" w:w="400"/>
              <w:left w:type="dxa" w:w="200"/>
              <w:bottom w:type="dxa" w:w="40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1B3D6D"/>
                <w:sz w:val="20"/>
                <w:szCs w:val="20"/>
                <w:rFonts w:ascii="Arial" w:cs="Arial" w:eastAsia="Arial" w:hAnsi="Arial"/>
              </w:rPr>
              <w:t xml:space="preserve">🖼  Cole aqui o print</w:t>
            </w:r>
          </w:p>
          <w:p>
            <w:pPr>
              <w:jc w:val="center"/>
            </w:pPr>
            <w:r>
              <w:rPr>
                <w:i/>
                <w:iCs/>
                <w:color w:val="595959"/>
                <w:sz w:val="18"/>
                <w:szCs w:val="18"/>
                <w:rFonts w:ascii="Arial" w:cs="Arial" w:eastAsia="Arial" w:hAnsi="Arial"/>
              </w:rPr>
              <w:t xml:space="preserve">Evidência 2 — Ações Agendadas do módulo 52</w:t>
            </w:r>
          </w:p>
        </w:tc>
      </w:tr>
    </w:tbl>
    <w:p>
      <w:pPr>
        <w:spacing w:after="60"/>
      </w:pPr>
    </w:p>
    <w:p>
      <w:pPr>
        <w:spacing w:before="220" w:after="100"/>
      </w:pPr>
      <w:r>
        <w:rPr>
          <w:b/>
          <w:bCs/>
          <w:color w:val="1B3D6D"/>
          <w:sz w:val="24"/>
          <w:szCs w:val="24"/>
          <w:rFonts w:ascii="Arial" w:cs="Arial" w:eastAsia="Arial" w:hAnsi="Arial"/>
        </w:rPr>
        <w:t xml:space="preserve">Evidência 3 — Gerenciamento Integração (pedido processado)</w:t>
      </w:r>
    </w:p>
    <w:p>
      <w:pPr>
        <w:spacing w:after="100" w:line="276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Tela Gerenciamento Integração com pedido Nº Único 1470376 em status Finalizada (Controle 45567, parceiro 31761), e os botões de ação do fluxo.</w:t>
      </w:r>
    </w:p>
    <w:tbl>
      <w:tblPr>
        <w:tblW w:type="pct" w:w="100%"/>
        <w:tblBorders>
          <w:top w:val="dashed" w:color="1B3D6D" w:sz="6"/>
          <w:left w:val="dashed" w:color="1B3D6D" w:sz="6"/>
          <w:bottom w:val="dashed" w:color="1B3D6D" w:sz="6"/>
          <w:right w:val="dashed" w:color="1B3D6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CFE" w:val="clear"/>
            <w:tcMar>
              <w:top w:type="dxa" w:w="400"/>
              <w:left w:type="dxa" w:w="200"/>
              <w:bottom w:type="dxa" w:w="40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1B3D6D"/>
                <w:sz w:val="20"/>
                <w:szCs w:val="20"/>
                <w:rFonts w:ascii="Arial" w:cs="Arial" w:eastAsia="Arial" w:hAnsi="Arial"/>
              </w:rPr>
              <w:t xml:space="preserve">🖼  Cole aqui o print</w:t>
            </w:r>
          </w:p>
          <w:p>
            <w:pPr>
              <w:jc w:val="center"/>
            </w:pPr>
            <w:r>
              <w:rPr>
                <w:i/>
                <w:iCs/>
                <w:color w:val="595959"/>
                <w:sz w:val="18"/>
                <w:szCs w:val="18"/>
                <w:rFonts w:ascii="Arial" w:cs="Arial" w:eastAsia="Arial" w:hAnsi="Arial"/>
              </w:rPr>
              <w:t xml:space="preserve">Evidência 3 — Gerenciamento Integração (pedido processado)</w:t>
            </w:r>
          </w:p>
        </w:tc>
      </w:tr>
    </w:tbl>
    <w:p>
      <w:pPr>
        <w:spacing w:after="60"/>
      </w:pPr>
    </w:p>
    <w:p>
      <w:pPr>
        <w:spacing w:before="220" w:after="100"/>
      </w:pPr>
      <w:r>
        <w:rPr>
          <w:b/>
          <w:bCs/>
          <w:color w:val="1B3D6D"/>
          <w:sz w:val="24"/>
          <w:szCs w:val="24"/>
          <w:rFonts w:ascii="Arial" w:cs="Arial" w:eastAsia="Arial" w:hAnsi="Arial"/>
        </w:rPr>
        <w:t xml:space="preserve">Evidência 4 — Domínio STATUSPICKING com valor EX</w:t>
      </w:r>
    </w:p>
    <w:p>
      <w:pPr>
        <w:spacing w:after="100" w:line="276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Dicionário de Dados / Construtor de Telas → campo AD_TGFINTE.STATUSPICKING, lista de opções com EX = Expedição (ordem 8).</w:t>
      </w:r>
    </w:p>
    <w:tbl>
      <w:tblPr>
        <w:tblW w:type="pct" w:w="100%"/>
        <w:tblBorders>
          <w:top w:val="dashed" w:color="1B3D6D" w:sz="6"/>
          <w:left w:val="dashed" w:color="1B3D6D" w:sz="6"/>
          <w:bottom w:val="dashed" w:color="1B3D6D" w:sz="6"/>
          <w:right w:val="dashed" w:color="1B3D6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CFE" w:val="clear"/>
            <w:tcMar>
              <w:top w:type="dxa" w:w="400"/>
              <w:left w:type="dxa" w:w="200"/>
              <w:bottom w:type="dxa" w:w="40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1B3D6D"/>
                <w:sz w:val="20"/>
                <w:szCs w:val="20"/>
                <w:rFonts w:ascii="Arial" w:cs="Arial" w:eastAsia="Arial" w:hAnsi="Arial"/>
              </w:rPr>
              <w:t xml:space="preserve">🖼  Cole aqui o print</w:t>
            </w:r>
          </w:p>
          <w:p>
            <w:pPr>
              <w:jc w:val="center"/>
            </w:pPr>
            <w:r>
              <w:rPr>
                <w:i/>
                <w:iCs/>
                <w:color w:val="595959"/>
                <w:sz w:val="18"/>
                <w:szCs w:val="18"/>
                <w:rFonts w:ascii="Arial" w:cs="Arial" w:eastAsia="Arial" w:hAnsi="Arial"/>
              </w:rPr>
              <w:t xml:space="preserve">Evidência 4 — Domínio STATUSPICKING com valor EX</w:t>
            </w:r>
          </w:p>
        </w:tc>
      </w:tr>
    </w:tbl>
    <w:p>
      <w:pPr>
        <w:spacing w:after="60"/>
      </w:pPr>
    </w:p>
    <w:p>
      <w:pPr>
        <w:spacing w:before="220" w:after="100"/>
      </w:pPr>
      <w:r>
        <w:rPr>
          <w:b/>
          <w:bCs/>
          <w:color w:val="1B3D6D"/>
          <w:sz w:val="24"/>
          <w:szCs w:val="24"/>
          <w:rFonts w:ascii="Arial" w:cs="Arial" w:eastAsia="Arial" w:hAnsi="Arial"/>
        </w:rPr>
        <w:t xml:space="preserve">Evidência 5 — Ação "Avançar Para Preparação Finalizada" (EP → PF)</w:t>
      </w:r>
    </w:p>
    <w:p>
      <w:pPr>
        <w:spacing w:after="100" w:line="276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Construtor de Telas → AD_TGFINTE → aba Ações → script JavaScript da transição de status EP → PF.</w:t>
      </w:r>
    </w:p>
    <w:tbl>
      <w:tblPr>
        <w:tblW w:type="pct" w:w="100%"/>
        <w:tblBorders>
          <w:top w:val="dashed" w:color="1B3D6D" w:sz="6"/>
          <w:left w:val="dashed" w:color="1B3D6D" w:sz="6"/>
          <w:bottom w:val="dashed" w:color="1B3D6D" w:sz="6"/>
          <w:right w:val="dashed" w:color="1B3D6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CFE" w:val="clear"/>
            <w:tcMar>
              <w:top w:type="dxa" w:w="400"/>
              <w:left w:type="dxa" w:w="200"/>
              <w:bottom w:type="dxa" w:w="40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1B3D6D"/>
                <w:sz w:val="20"/>
                <w:szCs w:val="20"/>
                <w:rFonts w:ascii="Arial" w:cs="Arial" w:eastAsia="Arial" w:hAnsi="Arial"/>
              </w:rPr>
              <w:t xml:space="preserve">🖼  Cole aqui o print</w:t>
            </w:r>
          </w:p>
          <w:p>
            <w:pPr>
              <w:jc w:val="center"/>
            </w:pPr>
            <w:r>
              <w:rPr>
                <w:i/>
                <w:iCs/>
                <w:color w:val="595959"/>
                <w:sz w:val="18"/>
                <w:szCs w:val="18"/>
                <w:rFonts w:ascii="Arial" w:cs="Arial" w:eastAsia="Arial" w:hAnsi="Arial"/>
              </w:rPr>
              <w:t xml:space="preserve">Evidência 5 — Ação "Avançar Para Preparação Finalizada" (EP → PF)</w:t>
            </w:r>
          </w:p>
        </w:tc>
      </w:tr>
    </w:tbl>
    <w:p>
      <w:pPr>
        <w:spacing w:after="60"/>
      </w:pPr>
    </w:p>
    <w:p>
      <w:pPr>
        <w:pBdr>
          <w:bottom w:val="single" w:color="F291D6" w:sz="12" w:space="4"/>
        </w:pBdr>
        <w:spacing w:before="320" w:after="140"/>
      </w:pPr>
      <w:r>
        <w:rPr>
          <w:b/>
          <w:bCs/>
          <w:color w:val="1B3D6D"/>
          <w:sz w:val="30"/>
          <w:szCs w:val="30"/>
          <w:rFonts w:ascii="Arial" w:cs="Arial" w:eastAsia="Arial" w:hAnsi="Arial"/>
        </w:rPr>
        <w:t xml:space="preserve">10. Pendências e próximos passos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222222"/>
          <w:sz w:val="21"/>
          <w:szCs w:val="21"/>
          <w:rFonts w:ascii="Arial" w:cs="Arial" w:eastAsia="Arial" w:hAnsi="Arial"/>
        </w:rPr>
        <w:t xml:space="preserve">Homologação com o usuário: </w:t>
      </w:r>
      <w:r>
        <w:rPr>
          <w:b/>
          <w:bCs/>
          <w:color w:val="B00020"/>
          <w:sz w:val="21"/>
          <w:szCs w:val="21"/>
          <w:rFonts w:ascii="Arial" w:cs="Arial" w:eastAsia="Arial" w:hAnsi="Arial"/>
        </w:rPr>
        <w:t xml:space="preserve">PENDENTE. 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O dev subiu em produção; a validação funcional com o usuário ainda não foi realizada.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Acompanhar o comportamento do estado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EX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 (Expedição) no Gerenciamento Integração após a gravação pelo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ScheduleEnviarDadosNota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.</w:t>
      </w:r>
    </w:p>
    <w:p>
      <w:pPr>
        <w:pBdr>
          <w:bottom w:val="single" w:color="F291D6" w:sz="12" w:space="4"/>
        </w:pBdr>
        <w:spacing w:before="320" w:after="140"/>
      </w:pPr>
      <w:r>
        <w:rPr>
          <w:b/>
          <w:bCs/>
          <w:color w:val="1B3D6D"/>
          <w:sz w:val="30"/>
          <w:szCs w:val="30"/>
          <w:rFonts w:ascii="Arial" w:cs="Arial" w:eastAsia="Arial" w:hAnsi="Arial"/>
        </w:rPr>
        <w:t xml:space="preserve">11. Referências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Repositório: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victorfeer/DevsVoke</w:t>
      </w:r>
      <w:r>
        <w:rPr>
          <w:color w:val="222222"/>
          <w:sz w:val="21"/>
          <w:szCs w:val="21"/>
          <w:rFonts w:ascii="Arial" w:cs="Arial" w:eastAsia="Arial" w:hAnsi="Arial"/>
        </w:rPr>
        <w:t xml:space="preserve"> —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sankhya/java/Integração Vokenex itsm/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Objeto de banco: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voke/src/main/procedures/DOMINIO_STATUSPICKING_EX.sql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222222"/>
          <w:sz w:val="21"/>
          <w:szCs w:val="21"/>
          <w:rFonts w:ascii="Arial" w:cs="Arial" w:eastAsia="Arial" w:hAnsi="Arial"/>
        </w:rPr>
        <w:t xml:space="preserve">Documentação técnica da máquina de estados: </w:t>
      </w:r>
      <w:r>
        <w:rPr>
          <w:color w:val="1A1A1A"/>
          <w:sz w:val="19"/>
          <w:szCs w:val="19"/>
          <w:rFonts w:ascii="Consolas" w:cs="Consolas" w:eastAsia="Consolas" w:hAnsi="Consolas"/>
        </w:rPr>
        <w:t xml:space="preserve">docs/fluxo-packing.md</w:t>
      </w:r>
    </w:p>
    <w:sectPr>
      <w:headerReference w:type="default" r:id="rId6"/>
      <w:pgSz w:w="11906" w:h="16838" w:orient="portrait"/>
      <w:pgMar w:top="2450" w:right="1100" w:bottom="15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B3D6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image" Target="media/icq_pypxwieod70pi7upy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kp8bdgrbmrtzjks4bo_u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GMUD 214 — Subida em Produção</dc:title>
  <dc:creator>Voke</dc:creator>
  <cp:lastModifiedBy>Un-named</cp:lastModifiedBy>
  <cp:revision>1</cp:revision>
  <dcterms:created xsi:type="dcterms:W3CDTF">2026-08-23T15:16:43.892Z</dcterms:created>
  <dcterms:modified xsi:type="dcterms:W3CDTF">2026-08-23T15:16:43.892Z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