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20"/>
      </w:pPr>
      <w:r>
        <w:rPr>
          <w:rFonts w:ascii="Helvetica Neue" w:hAnsi="Helvetica Neue" w:cs="Helvetica Neue"/>
          <w:sz w:val="56"/>
          <w:sz-cs w:val="56"/>
          <w:b/>
          <w:spacing w:val="0"/>
          <w:color w:val="0D121F"/>
        </w:rPr>
        <w:t xml:space="preserve">ServiceNow Incident AI Analyzer With Splunk Evidence Enrichment</w:t>
      </w:r>
    </w:p>
    <w:p>
      <w:pPr/>
      <w:r>
        <w:rPr>
          <w:rFonts w:ascii="Helvetica Neue" w:hAnsi="Helvetica Neue" w:cs="Helvetica Neue"/>
          <w:sz w:val="26"/>
          <w:sz-cs w:val="26"/>
          <w:spacing w:val="0"/>
          <w:color w:val="374356"/>
        </w:rPr>
        <w:t xml:space="preserve">Final Project Report</w:t>
      </w:r>
    </w:p>
    <w:p>
      <w:pPr/>
      <w:r>
        <w:rPr>
          <w:rFonts w:ascii="Helvetica Neue" w:hAnsi="Helvetica Neue" w:cs="Helvetica Neue"/>
          <w:sz w:val="26"/>
          <w:sz-cs w:val="26"/>
          <w:spacing w:val="0"/>
          <w:color w:val="374356"/>
        </w:rPr>
        <w:t xml:space="preserve">Prepared on April 6, 2026</w:t>
      </w:r>
    </w:p>
    <w:p>
      <w:pPr/>
      <w:r>
        <w:rPr>
          <w:rFonts w:ascii="Helvetica Neue" w:hAnsi="Helvetica Neue" w:cs="Helvetica Neue"/>
          <w:sz w:val="24"/>
          <w:sz-cs w:val="24"/>
          <w:b/>
          <w:spacing w:val="0"/>
          <w:color w:val="181E2A"/>
        </w:rPr>
        <w:t xml:space="preserve">Executive Summary</w:t>
      </w:r>
      <w:r>
        <w:rPr>
          <w:rFonts w:ascii="Helvetica Neue" w:hAnsi="Helvetica Neue" w:cs="Helvetica Neue"/>
          <w:sz w:val="24"/>
          <w:sz-cs w:val="24"/>
          <w:spacing w:val="0"/>
          <w:color w:val="181E2A"/>
        </w:rPr>
        <w:t xml:space="preserve"/>
      </w:r>
    </w:p>
    <w:p>
      <w:pPr/>
      <w:r>
        <w:rPr>
          <w:rFonts w:ascii="Helvetica Neue" w:hAnsi="Helvetica Neue" w:cs="Helvetica Neue"/>
          <w:sz w:val="24"/>
          <w:sz-cs w:val="24"/>
          <w:spacing w:val="0"/>
          <w:color w:val="181E2A"/>
        </w:rPr>
        <w:t xml:space="preserve">This project delivers a real-time incident automation solution that receives ServiceNow incident events, enriches them with matching Splunk evidence, generates AI-based incident analysis, writes the evidence and analysis back to the ticket, and reassigns the incident to the correct team. The final implementation was validated live end to end, and the temporary verification incidents used during testing were cleaned up after completion.</w:t>
      </w:r>
    </w:p>
    <w:p>
      <w:pPr>
        <w:spacing w:after="200"/>
      </w:pPr>
      <w:r>
        <w:rPr>
          <w:rFonts w:ascii="Helvetica Neue" w:hAnsi="Helvetica Neue" w:cs="Helvetica Neue"/>
          <w:sz w:val="40"/>
          <w:sz-cs w:val="40"/>
          <w:b/>
          <w:spacing w:val="0"/>
          <w:color w:val="0D121F"/>
        </w:rPr>
        <w:t xml:space="preserve">1. Idea and Project Objective</w:t>
      </w:r>
    </w:p>
    <w:p>
      <w:pPr>
        <w:spacing w:after="200"/>
      </w:pPr>
      <w:r>
        <w:rPr>
          <w:rFonts w:ascii="Helvetica Neue" w:hAnsi="Helvetica Neue" w:cs="Helvetica Neue"/>
          <w:sz w:val="24"/>
          <w:sz-cs w:val="24"/>
          <w:spacing w:val="0"/>
          <w:color w:val="181E2A"/>
        </w:rPr>
        <w:t xml:space="preserve">The core idea behind this project was to move incident handling from a mostly manual, reactive workflow to a near real-time assisted workflow. Instead of waiting for an engineer to read the ticket, inspect logs, guess the likely root cause, and manually route the incident, the system performs those steps automatically within seconds of incident creation.</w:t>
      </w:r>
    </w:p>
    <w:p>
      <w:pPr>
        <w:spacing w:after="200"/>
      </w:pPr>
      <w:r>
        <w:rPr>
          <w:rFonts w:ascii="Helvetica Neue" w:hAnsi="Helvetica Neue" w:cs="Helvetica Neue"/>
          <w:sz w:val="24"/>
          <w:sz-cs w:val="24"/>
          <w:spacing w:val="0"/>
          <w:color w:val="181E2A"/>
        </w:rPr>
        <w:t xml:space="preserve">The objective was not only to summarize incidents with AI, but to connect the analysis to operational evidence. That meant integrating ServiceNow for ticket intake and writeback, Splunk Cloud for log retrieval, and a large language model for reasoning, categorization, root cause hypothesis generation, and assignment recommendations.</w:t>
      </w:r>
    </w:p>
    <w:p>
      <w:pPr>
        <w:spacing w:after="200"/>
      </w:pPr>
      <w:r>
        <w:rPr>
          <w:rFonts w:ascii="Helvetica Neue" w:hAnsi="Helvetica Neue" w:cs="Helvetica Neue"/>
          <w:sz w:val="40"/>
          <w:sz-cs w:val="40"/>
          <w:b/>
          <w:spacing w:val="0"/>
          <w:color w:val="0D121F"/>
        </w:rPr>
        <w:t xml:space="preserve">2. Problem Statement</w:t>
      </w:r>
    </w:p>
    <w:p>
      <w:pPr>
        <w:spacing w:after="200"/>
      </w:pPr>
      <w:r>
        <w:rPr>
          <w:rFonts w:ascii="Helvetica Neue" w:hAnsi="Helvetica Neue" w:cs="Helvetica Neue"/>
          <w:sz w:val="24"/>
          <w:sz-cs w:val="24"/>
          <w:spacing w:val="0"/>
          <w:color w:val="181E2A"/>
        </w:rPr>
        <w:t xml:space="preserve">In many real-world IT and business support environments, incidents are created with incomplete technical context. Teams often lose time because they must first identify whether the issue is related to the application, the platform, the database, the integration layer, or an upstream business process. Valuable log evidence sits in another tool, and assignment frequently depends on individual experience rather than a consistent process.</w:t>
      </w:r>
    </w:p>
    <w:p>
      <w:pPr>
        <w:spacing w:after="200"/>
      </w:pPr>
      <w:r>
        <w:rPr>
          <w:rFonts w:ascii="Helvetica Neue" w:hAnsi="Helvetica Neue" w:cs="Helvetica Neue"/>
          <w:sz w:val="24"/>
          <w:sz-cs w:val="24"/>
          <w:spacing w:val="0"/>
          <w:color w:val="181E2A"/>
        </w:rPr>
        <w:t xml:space="preserve">This leads to slower triage, repeated handoffs, inconsistent documentation, and delayed resolution. The project addresses this by creating a single automated path from incident intake to evidence-backed analysis and routing.</w:t>
      </w:r>
    </w:p>
    <w:p>
      <w:pPr>
        <w:spacing w:after="200"/>
      </w:pPr>
      <w:r>
        <w:rPr>
          <w:rFonts w:ascii="Helvetica Neue" w:hAnsi="Helvetica Neue" w:cs="Helvetica Neue"/>
          <w:sz w:val="40"/>
          <w:sz-cs w:val="40"/>
          <w:b/>
          <w:spacing w:val="0"/>
          <w:color w:val="0D121F"/>
        </w:rPr>
        <w:t xml:space="preserve">3. Solution Overview</w:t>
      </w:r>
    </w:p>
    <w:p>
      <w:pPr>
        <w:spacing w:after="200"/>
      </w:pPr>
      <w:r>
        <w:rPr>
          <w:rFonts w:ascii="Helvetica Neue" w:hAnsi="Helvetica Neue" w:cs="Helvetica Neue"/>
          <w:sz w:val="24"/>
          <w:sz-cs w:val="24"/>
          <w:spacing w:val="0"/>
          <w:color w:val="181E2A"/>
        </w:rPr>
        <w:t xml:space="preserve">The implemented solution uses a webhook-driven architecture. When a new incident is inserted in ServiceNow, a Business Rule sends the incident payload to a locally hosted Flask receiver through ngrok. The application then fetches the full incident record, extracts identifiers such as request ID, quote number, application name, service name, and environment, and searches Splunk Cloud for exact or similar matches.</w:t>
      </w:r>
    </w:p>
    <w:p>
      <w:pPr>
        <w:spacing w:after="200"/>
      </w:pPr>
      <w:r>
        <w:rPr>
          <w:rFonts w:ascii="Helvetica Neue" w:hAnsi="Helvetica Neue" w:cs="Helvetica Neue"/>
          <w:sz w:val="24"/>
          <w:sz-cs w:val="24"/>
          <w:spacing w:val="0"/>
          <w:color w:val="181E2A"/>
        </w:rPr>
        <w:t xml:space="preserve">If matching evidence is found, the system creates a text evidence report, uploads it back to the incident as an attachment, adds a work note describing the evidence, runs AI analysis using the incident plus the Splunk context, posts a structured incident analysis comment, and updates the assignment group when confidence is high.</w:t>
      </w:r>
    </w:p>
    <w:p>
      <w:pPr>
        <w:spacing w:after="200"/>
      </w:pPr>
      <w:r>
        <w:rPr>
          <w:rFonts w:ascii="Helvetica Neue" w:hAnsi="Helvetica Neue" w:cs="Helvetica Neue"/>
          <w:sz w:val="40"/>
          <w:sz-cs w:val="40"/>
          <w:b/>
          <w:spacing w:val="0"/>
          <w:color w:val="0D121F"/>
        </w:rPr>
        <w:t xml:space="preserve">4. End-to-End Process</w:t>
      </w:r>
    </w:p>
    <w:p>
      <w:pPr>
        <w:ind w:left="720" w:first-line="-720"/>
        <w:spacing w:after="80"/>
      </w:pPr>
      <w:r>
        <w:rPr>
          <w:rFonts w:ascii="Helvetica Neue" w:hAnsi="Helvetica Neue" w:cs="Helvetica Neue"/>
          <w:sz w:val="24"/>
          <w:sz-cs w:val="24"/>
          <w:color w:val="181E2A"/>
        </w:rPr>
        <w:t xml:space="preserve"/>
        <w:tab/>
        <w:t xml:space="preserve">1</w:t>
        <w:tab/>
        <w:t xml:space="preserve"/>
      </w:r>
      <w:r>
        <w:rPr>
          <w:rFonts w:ascii="Helvetica Neue" w:hAnsi="Helvetica Neue" w:cs="Helvetica Neue"/>
          <w:sz w:val="24"/>
          <w:sz-cs w:val="24"/>
          <w:spacing w:val="0"/>
          <w:color w:val="181E2A"/>
        </w:rPr>
        <w:t xml:space="preserve">A new incident is inserted in the ServiceNow PDI.</w:t>
      </w:r>
    </w:p>
    <w:p>
      <w:pPr>
        <w:ind w:left="720" w:first-line="-720"/>
        <w:spacing w:after="80"/>
      </w:pPr>
      <w:r>
        <w:rPr>
          <w:rFonts w:ascii="Helvetica Neue" w:hAnsi="Helvetica Neue" w:cs="Helvetica Neue"/>
          <w:sz w:val="24"/>
          <w:sz-cs w:val="24"/>
          <w:color w:val="181E2A"/>
        </w:rPr>
        <w:t xml:space="preserve"/>
        <w:tab/>
        <w:t xml:space="preserve">2</w:t>
        <w:tab/>
        <w:t xml:space="preserve"/>
      </w:r>
      <w:r>
        <w:rPr>
          <w:rFonts w:ascii="Helvetica Neue" w:hAnsi="Helvetica Neue" w:cs="Helvetica Neue"/>
          <w:sz w:val="24"/>
          <w:sz-cs w:val="24"/>
          <w:spacing w:val="0"/>
          <w:color w:val="181E2A"/>
        </w:rPr>
        <w:t xml:space="preserve">A ServiceNow Business Rule runs after insert and reads the webhook URL from a system property.</w:t>
      </w:r>
    </w:p>
    <w:p>
      <w:pPr>
        <w:ind w:left="720" w:first-line="-720"/>
        <w:spacing w:after="80"/>
      </w:pPr>
      <w:r>
        <w:rPr>
          <w:rFonts w:ascii="Helvetica Neue" w:hAnsi="Helvetica Neue" w:cs="Helvetica Neue"/>
          <w:sz w:val="24"/>
          <w:sz-cs w:val="24"/>
          <w:color w:val="181E2A"/>
        </w:rPr>
        <w:t xml:space="preserve"/>
        <w:tab/>
        <w:t xml:space="preserve">3</w:t>
        <w:tab/>
        <w:t xml:space="preserve"/>
      </w:r>
      <w:r>
        <w:rPr>
          <w:rFonts w:ascii="Helvetica Neue" w:hAnsi="Helvetica Neue" w:cs="Helvetica Neue"/>
          <w:sz w:val="24"/>
          <w:sz-cs w:val="24"/>
          <w:spacing w:val="0"/>
          <w:color w:val="181E2A"/>
        </w:rPr>
        <w:t xml:space="preserve">The Business Rule sends the incident event to the local receiver through ngrok.</w:t>
      </w:r>
    </w:p>
    <w:p>
      <w:pPr>
        <w:ind w:left="720" w:first-line="-720"/>
        <w:spacing w:after="80"/>
      </w:pPr>
      <w:r>
        <w:rPr>
          <w:rFonts w:ascii="Helvetica Neue" w:hAnsi="Helvetica Neue" w:cs="Helvetica Neue"/>
          <w:sz w:val="24"/>
          <w:sz-cs w:val="24"/>
          <w:color w:val="181E2A"/>
        </w:rPr>
        <w:t xml:space="preserve"/>
        <w:tab/>
        <w:t xml:space="preserve">4</w:t>
        <w:tab/>
        <w:t xml:space="preserve"/>
      </w:r>
      <w:r>
        <w:rPr>
          <w:rFonts w:ascii="Helvetica Neue" w:hAnsi="Helvetica Neue" w:cs="Helvetica Neue"/>
          <w:sz w:val="24"/>
          <w:sz-cs w:val="24"/>
          <w:spacing w:val="0"/>
          <w:color w:val="181E2A"/>
        </w:rPr>
        <w:t xml:space="preserve">The webhook receiver fetches the full incident details from ServiceNow.</w:t>
      </w:r>
    </w:p>
    <w:p>
      <w:pPr>
        <w:ind w:left="720" w:first-line="-720"/>
        <w:spacing w:after="80"/>
      </w:pPr>
      <w:r>
        <w:rPr>
          <w:rFonts w:ascii="Helvetica Neue" w:hAnsi="Helvetica Neue" w:cs="Helvetica Neue"/>
          <w:sz w:val="24"/>
          <w:sz-cs w:val="24"/>
          <w:color w:val="181E2A"/>
        </w:rPr>
        <w:t xml:space="preserve"/>
        <w:tab/>
        <w:t xml:space="preserve">5</w:t>
        <w:tab/>
        <w:t xml:space="preserve"/>
      </w:r>
      <w:r>
        <w:rPr>
          <w:rFonts w:ascii="Helvetica Neue" w:hAnsi="Helvetica Neue" w:cs="Helvetica Neue"/>
          <w:sz w:val="24"/>
          <w:sz-cs w:val="24"/>
          <w:spacing w:val="0"/>
          <w:color w:val="181E2A"/>
        </w:rPr>
        <w:t xml:space="preserve">The processor extracts strong identifiers from the incident text and structured fields.</w:t>
      </w:r>
    </w:p>
    <w:p>
      <w:pPr>
        <w:ind w:left="720" w:first-line="-720"/>
        <w:spacing w:after="80"/>
      </w:pPr>
      <w:r>
        <w:rPr>
          <w:rFonts w:ascii="Helvetica Neue" w:hAnsi="Helvetica Neue" w:cs="Helvetica Neue"/>
          <w:sz w:val="24"/>
          <w:sz-cs w:val="24"/>
          <w:color w:val="181E2A"/>
        </w:rPr>
        <w:t xml:space="preserve"/>
        <w:tab/>
        <w:t xml:space="preserve">6</w:t>
        <w:tab/>
        <w:t xml:space="preserve"/>
      </w:r>
      <w:r>
        <w:rPr>
          <w:rFonts w:ascii="Helvetica Neue" w:hAnsi="Helvetica Neue" w:cs="Helvetica Neue"/>
          <w:sz w:val="24"/>
          <w:sz-cs w:val="24"/>
          <w:spacing w:val="0"/>
          <w:color w:val="181E2A"/>
        </w:rPr>
        <w:t xml:space="preserve">Splunk is queried using exact identifier matching first, then contextual exact matching, then similarity search.</w:t>
      </w:r>
    </w:p>
    <w:p>
      <w:pPr>
        <w:ind w:left="720" w:first-line="-720"/>
        <w:spacing w:after="80"/>
      </w:pPr>
      <w:r>
        <w:rPr>
          <w:rFonts w:ascii="Helvetica Neue" w:hAnsi="Helvetica Neue" w:cs="Helvetica Neue"/>
          <w:sz w:val="24"/>
          <w:sz-cs w:val="24"/>
          <w:color w:val="181E2A"/>
        </w:rPr>
        <w:t xml:space="preserve"/>
        <w:tab/>
        <w:t xml:space="preserve">7</w:t>
        <w:tab/>
        <w:t xml:space="preserve"/>
      </w:r>
      <w:r>
        <w:rPr>
          <w:rFonts w:ascii="Helvetica Neue" w:hAnsi="Helvetica Neue" w:cs="Helvetica Neue"/>
          <w:sz w:val="24"/>
          <w:sz-cs w:val="24"/>
          <w:spacing w:val="0"/>
          <w:color w:val="181E2A"/>
        </w:rPr>
        <w:t xml:space="preserve">A Splunk evidence report is generated and uploaded to the ServiceNow incident as an attachment.</w:t>
      </w:r>
    </w:p>
    <w:p>
      <w:pPr>
        <w:ind w:left="720" w:first-line="-720"/>
        <w:spacing w:after="80"/>
      </w:pPr>
      <w:r>
        <w:rPr>
          <w:rFonts w:ascii="Helvetica Neue" w:hAnsi="Helvetica Neue" w:cs="Helvetica Neue"/>
          <w:sz w:val="24"/>
          <w:sz-cs w:val="24"/>
          <w:color w:val="181E2A"/>
        </w:rPr>
        <w:t xml:space="preserve"/>
        <w:tab/>
        <w:t xml:space="preserve">8</w:t>
        <w:tab/>
        <w:t xml:space="preserve"/>
      </w:r>
      <w:r>
        <w:rPr>
          <w:rFonts w:ascii="Helvetica Neue" w:hAnsi="Helvetica Neue" w:cs="Helvetica Neue"/>
          <w:sz w:val="24"/>
          <w:sz-cs w:val="24"/>
          <w:spacing w:val="0"/>
          <w:color w:val="181E2A"/>
        </w:rPr>
        <w:t xml:space="preserve">A work note is added to indicate what evidence was attached and how it was matched.</w:t>
      </w:r>
    </w:p>
    <w:p>
      <w:pPr>
        <w:ind w:left="720" w:first-line="-720"/>
        <w:spacing w:after="80"/>
      </w:pPr>
      <w:r>
        <w:rPr>
          <w:rFonts w:ascii="Helvetica Neue" w:hAnsi="Helvetica Neue" w:cs="Helvetica Neue"/>
          <w:sz w:val="24"/>
          <w:sz-cs w:val="24"/>
          <w:color w:val="181E2A"/>
        </w:rPr>
        <w:t xml:space="preserve"/>
        <w:tab/>
        <w:t xml:space="preserve">9</w:t>
        <w:tab/>
        <w:t xml:space="preserve"/>
      </w:r>
      <w:r>
        <w:rPr>
          <w:rFonts w:ascii="Helvetica Neue" w:hAnsi="Helvetica Neue" w:cs="Helvetica Neue"/>
          <w:sz w:val="24"/>
          <w:sz-cs w:val="24"/>
          <w:spacing w:val="0"/>
          <w:color w:val="181E2A"/>
        </w:rPr>
        <w:t xml:space="preserve">The AI analyzer receives both the incident and evidence context and produces category, root cause, steps, confidence, and assignment recommendation.</w:t>
      </w:r>
    </w:p>
    <w:p>
      <w:pPr>
        <w:ind w:left="720" w:first-line="-720"/>
        <w:spacing w:after="80"/>
      </w:pPr>
      <w:r>
        <w:rPr>
          <w:rFonts w:ascii="Helvetica Neue" w:hAnsi="Helvetica Neue" w:cs="Helvetica Neue"/>
          <w:sz w:val="24"/>
          <w:sz-cs w:val="24"/>
          <w:color w:val="181E2A"/>
        </w:rPr>
        <w:t xml:space="preserve"/>
        <w:tab/>
        <w:t xml:space="preserve">10</w:t>
        <w:tab/>
        <w:t xml:space="preserve"/>
      </w:r>
      <w:r>
        <w:rPr>
          <w:rFonts w:ascii="Helvetica Neue" w:hAnsi="Helvetica Neue" w:cs="Helvetica Neue"/>
          <w:sz w:val="24"/>
          <w:sz-cs w:val="24"/>
          <w:spacing w:val="0"/>
          <w:color w:val="181E2A"/>
        </w:rPr>
        <w:t xml:space="preserve">The AI analysis is posted back to the incident as a structured comment.</w:t>
      </w:r>
    </w:p>
    <w:p>
      <w:pPr>
        <w:ind w:left="720" w:first-line="-720"/>
        <w:spacing w:after="80"/>
      </w:pPr>
      <w:r>
        <w:rPr>
          <w:rFonts w:ascii="Helvetica Neue" w:hAnsi="Helvetica Neue" w:cs="Helvetica Neue"/>
          <w:sz w:val="24"/>
          <w:sz-cs w:val="24"/>
          <w:color w:val="181E2A"/>
        </w:rPr>
        <w:t xml:space="preserve"/>
        <w:tab/>
        <w:t xml:space="preserve">11</w:t>
        <w:tab/>
        <w:t xml:space="preserve"/>
      </w:r>
      <w:r>
        <w:rPr>
          <w:rFonts w:ascii="Helvetica Neue" w:hAnsi="Helvetica Neue" w:cs="Helvetica Neue"/>
          <w:sz w:val="24"/>
          <w:sz-cs w:val="24"/>
          <w:spacing w:val="0"/>
          <w:color w:val="181E2A"/>
        </w:rPr>
        <w:t xml:space="preserve">The incident is reassigned to the recommended team when the confidence threshold is met.</w:t>
      </w:r>
    </w:p>
    <w:p>
      <w:pPr/>
      <w:r>
        <w:rPr>
          <w:rFonts w:ascii="Menlo" w:hAnsi="Menlo" w:cs="Menlo"/>
          <w:sz w:val="22"/>
          <w:sz-cs w:val="22"/>
          <w:spacing w:val="0"/>
          <w:color w:val="181E2A"/>
        </w:rPr>
        <w:t xml:space="preserve">ServiceNow Incident Insert</w:t>
      </w:r>
    </w:p>
    <w:p>
      <w:pPr/>
      <w:r>
        <w:rPr>
          <w:rFonts w:ascii="Menlo" w:hAnsi="Menlo" w:cs="Menlo"/>
          <w:sz w:val="22"/>
          <w:sz-cs w:val="22"/>
          <w:spacing w:val="0"/>
          <w:color w:val="181E2A"/>
        </w:rPr>
        <w:t xml:space="preserve">  -&gt; Business Rule: Incident AI Analyzer Webhook</w:t>
      </w:r>
    </w:p>
    <w:p>
      <w:pPr/>
      <w:r>
        <w:rPr>
          <w:rFonts w:ascii="Menlo" w:hAnsi="Menlo" w:cs="Menlo"/>
          <w:sz w:val="22"/>
          <w:sz-cs w:val="22"/>
          <w:spacing w:val="0"/>
          <w:color w:val="181E2A"/>
        </w:rPr>
        <w:t xml:space="preserve">  -&gt; System Property: x_servicenow_incident_analyzer.webhook_url</w:t>
      </w:r>
    </w:p>
    <w:p>
      <w:pPr/>
      <w:r>
        <w:rPr>
          <w:rFonts w:ascii="Menlo" w:hAnsi="Menlo" w:cs="Menlo"/>
          <w:sz w:val="22"/>
          <w:sz-cs w:val="22"/>
          <w:spacing w:val="0"/>
          <w:color w:val="181E2A"/>
        </w:rPr>
        <w:t xml:space="preserve">  -&gt; ngrok tunnel</w:t>
      </w:r>
    </w:p>
    <w:p>
      <w:pPr/>
      <w:r>
        <w:rPr>
          <w:rFonts w:ascii="Menlo" w:hAnsi="Menlo" w:cs="Menlo"/>
          <w:sz w:val="22"/>
          <w:sz-cs w:val="22"/>
          <w:spacing w:val="0"/>
          <w:color w:val="181E2A"/>
        </w:rPr>
        <w:t xml:space="preserve">  -&gt; Flask webhook receiver on 127.0.0.1:8081</w:t>
      </w:r>
    </w:p>
    <w:p>
      <w:pPr/>
      <w:r>
        <w:rPr>
          <w:rFonts w:ascii="Menlo" w:hAnsi="Menlo" w:cs="Menlo"/>
          <w:sz w:val="22"/>
          <w:sz-cs w:val="22"/>
          <w:spacing w:val="0"/>
          <w:color w:val="181E2A"/>
        </w:rPr>
        <w:t xml:space="preserve">  -&gt; ServiceNow incident fetch</w:t>
      </w:r>
    </w:p>
    <w:p>
      <w:pPr/>
      <w:r>
        <w:rPr>
          <w:rFonts w:ascii="Menlo" w:hAnsi="Menlo" w:cs="Menlo"/>
          <w:sz w:val="22"/>
          <w:sz-cs w:val="22"/>
          <w:spacing w:val="0"/>
          <w:color w:val="181E2A"/>
        </w:rPr>
        <w:t xml:space="preserve">  -&gt; Splunk evidence retrieval</w:t>
      </w:r>
    </w:p>
    <w:p>
      <w:pPr/>
      <w:r>
        <w:rPr>
          <w:rFonts w:ascii="Menlo" w:hAnsi="Menlo" w:cs="Menlo"/>
          <w:sz w:val="22"/>
          <w:sz-cs w:val="22"/>
          <w:spacing w:val="0"/>
          <w:color w:val="181E2A"/>
        </w:rPr>
        <w:t xml:space="preserve">  -&gt; Evidence attachment + work note</w:t>
      </w:r>
    </w:p>
    <w:p>
      <w:pPr/>
      <w:r>
        <w:rPr>
          <w:rFonts w:ascii="Menlo" w:hAnsi="Menlo" w:cs="Menlo"/>
          <w:sz w:val="22"/>
          <w:sz-cs w:val="22"/>
          <w:spacing w:val="0"/>
          <w:color w:val="181E2A"/>
        </w:rPr>
        <w:t xml:space="preserve">  -&gt; AI analysis</w:t>
      </w:r>
    </w:p>
    <w:p>
      <w:pPr/>
      <w:r>
        <w:rPr>
          <w:rFonts w:ascii="Menlo" w:hAnsi="Menlo" w:cs="Menlo"/>
          <w:sz w:val="22"/>
          <w:sz-cs w:val="22"/>
          <w:spacing w:val="0"/>
          <w:color w:val="181E2A"/>
        </w:rPr>
        <w:t xml:space="preserve">  -&gt; Comment writeback</w:t>
      </w:r>
    </w:p>
    <w:p>
      <w:pPr/>
      <w:r>
        <w:rPr>
          <w:rFonts w:ascii="Menlo" w:hAnsi="Menlo" w:cs="Menlo"/>
          <w:sz w:val="22"/>
          <w:sz-cs w:val="22"/>
          <w:spacing w:val="0"/>
          <w:color w:val="181E2A"/>
        </w:rPr>
        <w:t xml:space="preserve">  -&gt; Assignment update</w:t>
      </w:r>
    </w:p>
    <w:p>
      <w:pPr>
        <w:spacing w:after="200"/>
      </w:pPr>
      <w:r>
        <w:rPr>
          <w:rFonts w:ascii="Helvetica Neue" w:hAnsi="Helvetica Neue" w:cs="Helvetica Neue"/>
          <w:sz w:val="40"/>
          <w:sz-cs w:val="40"/>
          <w:b/>
          <w:spacing w:val="0"/>
          <w:color w:val="0D121F"/>
        </w:rPr>
        <w:t xml:space="preserve">5. Tools and Tech Stack</w:t>
      </w:r>
    </w:p>
    <w:p>
      <w:pPr/>
      <w:r>
        <w:rPr>
          <w:rFonts w:ascii="Helvetica Neue" w:hAnsi="Helvetica Neue" w:cs="Helvetica Neue"/>
          <w:sz w:val="24"/>
          <w:sz-cs w:val="24"/>
          <w:b/>
          <w:spacing w:val="0"/>
          <w:color w:val="0D121F"/>
        </w:rPr>
        <w:t xml:space="preserve">Layer</w:t>
      </w:r>
    </w:p>
    <w:p>
      <w:pPr/>
      <w:r>
        <w:rPr>
          <w:rFonts w:ascii="Helvetica Neue" w:hAnsi="Helvetica Neue" w:cs="Helvetica Neue"/>
          <w:sz w:val="24"/>
          <w:sz-cs w:val="24"/>
          <w:b/>
          <w:spacing w:val="0"/>
          <w:color w:val="0D121F"/>
        </w:rPr>
        <w:t xml:space="preserve">Tool / Technology</w:t>
      </w:r>
    </w:p>
    <w:p>
      <w:pPr/>
      <w:r>
        <w:rPr>
          <w:rFonts w:ascii="Helvetica Neue" w:hAnsi="Helvetica Neue" w:cs="Helvetica Neue"/>
          <w:sz w:val="24"/>
          <w:sz-cs w:val="24"/>
          <w:b/>
          <w:spacing w:val="0"/>
          <w:color w:val="0D121F"/>
        </w:rPr>
        <w:t xml:space="preserve">Purpose</w:t>
      </w:r>
    </w:p>
    <w:p>
      <w:pPr/>
      <w:r>
        <w:rPr>
          <w:rFonts w:ascii="Helvetica Neue" w:hAnsi="Helvetica Neue" w:cs="Helvetica Neue"/>
          <w:sz w:val="24"/>
          <w:sz-cs w:val="24"/>
          <w:spacing w:val="0"/>
          <w:color w:val="181E2A"/>
        </w:rPr>
        <w:t xml:space="preserve">Ticketing Platform</w:t>
      </w:r>
    </w:p>
    <w:p>
      <w:pPr/>
      <w:r>
        <w:rPr>
          <w:rFonts w:ascii="Helvetica Neue" w:hAnsi="Helvetica Neue" w:cs="Helvetica Neue"/>
          <w:sz w:val="24"/>
          <w:sz-cs w:val="24"/>
          <w:spacing w:val="0"/>
          <w:color w:val="181E2A"/>
        </w:rPr>
        <w:t xml:space="preserve">ServiceNow Personal Developer Instance</w:t>
      </w:r>
    </w:p>
    <w:p>
      <w:pPr/>
      <w:r>
        <w:rPr>
          <w:rFonts w:ascii="Helvetica Neue" w:hAnsi="Helvetica Neue" w:cs="Helvetica Neue"/>
          <w:sz w:val="24"/>
          <w:sz-cs w:val="24"/>
          <w:spacing w:val="0"/>
          <w:color w:val="181E2A"/>
        </w:rPr>
        <w:t xml:space="preserve">Incident source, comment/work note destination, assignment update target, evidence attachment target</w:t>
      </w:r>
    </w:p>
    <w:p>
      <w:pPr/>
      <w:r>
        <w:rPr>
          <w:rFonts w:ascii="Helvetica Neue" w:hAnsi="Helvetica Neue" w:cs="Helvetica Neue"/>
          <w:sz w:val="24"/>
          <w:sz-cs w:val="24"/>
          <w:spacing w:val="0"/>
          <w:color w:val="181E2A"/>
        </w:rPr>
        <w:t xml:space="preserve">Event Triggering</w:t>
      </w:r>
    </w:p>
    <w:p>
      <w:pPr/>
      <w:r>
        <w:rPr>
          <w:rFonts w:ascii="Helvetica Neue" w:hAnsi="Helvetica Neue" w:cs="Helvetica Neue"/>
          <w:sz w:val="24"/>
          <w:sz-cs w:val="24"/>
          <w:spacing w:val="0"/>
          <w:color w:val="181E2A"/>
        </w:rPr>
        <w:t xml:space="preserve">ServiceNow Business Rule plus system property</w:t>
      </w:r>
    </w:p>
    <w:p>
      <w:pPr/>
      <w:r>
        <w:rPr>
          <w:rFonts w:ascii="Helvetica Neue" w:hAnsi="Helvetica Neue" w:cs="Helvetica Neue"/>
          <w:sz w:val="24"/>
          <w:sz-cs w:val="24"/>
          <w:spacing w:val="0"/>
          <w:color w:val="181E2A"/>
        </w:rPr>
        <w:t xml:space="preserve">Triggers real-time webhook processing after incident insert</w:t>
      </w:r>
    </w:p>
    <w:p>
      <w:pPr/>
      <w:r>
        <w:rPr>
          <w:rFonts w:ascii="Helvetica Neue" w:hAnsi="Helvetica Neue" w:cs="Helvetica Neue"/>
          <w:sz w:val="24"/>
          <w:sz-cs w:val="24"/>
          <w:spacing w:val="0"/>
          <w:color w:val="181E2A"/>
        </w:rPr>
        <w:t xml:space="preserve">Transport</w:t>
      </w:r>
    </w:p>
    <w:p>
      <w:pPr/>
      <w:r>
        <w:rPr>
          <w:rFonts w:ascii="Helvetica Neue" w:hAnsi="Helvetica Neue" w:cs="Helvetica Neue"/>
          <w:sz w:val="24"/>
          <w:sz-cs w:val="24"/>
          <w:spacing w:val="0"/>
          <w:color w:val="181E2A"/>
        </w:rPr>
        <w:t xml:space="preserve">ngrok</w:t>
      </w:r>
    </w:p>
    <w:p>
      <w:pPr/>
      <w:r>
        <w:rPr>
          <w:rFonts w:ascii="Helvetica Neue" w:hAnsi="Helvetica Neue" w:cs="Helvetica Neue"/>
          <w:sz w:val="24"/>
          <w:sz-cs w:val="24"/>
          <w:spacing w:val="0"/>
          <w:color w:val="181E2A"/>
        </w:rPr>
        <w:t xml:space="preserve">Exposes the local webhook receiver to the public internet for ServiceNow callbacks</w:t>
      </w:r>
    </w:p>
    <w:p>
      <w:pPr/>
      <w:r>
        <w:rPr>
          <w:rFonts w:ascii="Helvetica Neue" w:hAnsi="Helvetica Neue" w:cs="Helvetica Neue"/>
          <w:sz w:val="24"/>
          <w:sz-cs w:val="24"/>
          <w:spacing w:val="0"/>
          <w:color w:val="181E2A"/>
        </w:rPr>
        <w:t xml:space="preserve">Application Runtime</w:t>
      </w:r>
    </w:p>
    <w:p>
      <w:pPr/>
      <w:r>
        <w:rPr>
          <w:rFonts w:ascii="Helvetica Neue" w:hAnsi="Helvetica Neue" w:cs="Helvetica Neue"/>
          <w:sz w:val="24"/>
          <w:sz-cs w:val="24"/>
          <w:spacing w:val="0"/>
          <w:color w:val="181E2A"/>
        </w:rPr>
        <w:t xml:space="preserve">Python 3 and Flask</w:t>
      </w:r>
    </w:p>
    <w:p>
      <w:pPr/>
      <w:r>
        <w:rPr>
          <w:rFonts w:ascii="Helvetica Neue" w:hAnsi="Helvetica Neue" w:cs="Helvetica Neue"/>
          <w:sz w:val="24"/>
          <w:sz-cs w:val="24"/>
          <w:spacing w:val="0"/>
          <w:color w:val="181E2A"/>
        </w:rPr>
        <w:t xml:space="preserve">Hosts the webhook receiver and orchestrates the processing flow</w:t>
      </w:r>
    </w:p>
    <w:p>
      <w:pPr/>
      <w:r>
        <w:rPr>
          <w:rFonts w:ascii="Helvetica Neue" w:hAnsi="Helvetica Neue" w:cs="Helvetica Neue"/>
          <w:sz w:val="24"/>
          <w:sz-cs w:val="24"/>
          <w:spacing w:val="0"/>
          <w:color w:val="181E2A"/>
        </w:rPr>
        <w:t xml:space="preserve">Platform Integration</w:t>
      </w:r>
    </w:p>
    <w:p>
      <w:pPr/>
      <w:r>
        <w:rPr>
          <w:rFonts w:ascii="Helvetica Neue" w:hAnsi="Helvetica Neue" w:cs="Helvetica Neue"/>
          <w:sz w:val="24"/>
          <w:sz-cs w:val="24"/>
          <w:spacing w:val="0"/>
          <w:color w:val="181E2A"/>
        </w:rPr>
        <w:t xml:space="preserve">Python requests library</w:t>
      </w:r>
    </w:p>
    <w:p>
      <w:pPr/>
      <w:r>
        <w:rPr>
          <w:rFonts w:ascii="Helvetica Neue" w:hAnsi="Helvetica Neue" w:cs="Helvetica Neue"/>
          <w:sz w:val="24"/>
          <w:sz-cs w:val="24"/>
          <w:spacing w:val="0"/>
          <w:color w:val="181E2A"/>
        </w:rPr>
        <w:t xml:space="preserve">Used for ServiceNow API calls and Splunk Cloud interactions</w:t>
      </w:r>
    </w:p>
    <w:p>
      <w:pPr/>
      <w:r>
        <w:rPr>
          <w:rFonts w:ascii="Helvetica Neue" w:hAnsi="Helvetica Neue" w:cs="Helvetica Neue"/>
          <w:sz w:val="24"/>
          <w:sz-cs w:val="24"/>
          <w:spacing w:val="0"/>
          <w:color w:val="181E2A"/>
        </w:rPr>
        <w:t xml:space="preserve">Log Platform</w:t>
      </w:r>
    </w:p>
    <w:p>
      <w:pPr/>
      <w:r>
        <w:rPr>
          <w:rFonts w:ascii="Helvetica Neue" w:hAnsi="Helvetica Neue" w:cs="Helvetica Neue"/>
          <w:sz w:val="24"/>
          <w:sz-cs w:val="24"/>
          <w:spacing w:val="0"/>
          <w:color w:val="181E2A"/>
        </w:rPr>
        <w:t xml:space="preserve">Splunk Cloud</w:t>
      </w:r>
    </w:p>
    <w:p>
      <w:pPr/>
      <w:r>
        <w:rPr>
          <w:rFonts w:ascii="Helvetica Neue" w:hAnsi="Helvetica Neue" w:cs="Helvetica Neue"/>
          <w:sz w:val="24"/>
          <w:sz-cs w:val="24"/>
          <w:spacing w:val="0"/>
          <w:color w:val="181E2A"/>
        </w:rPr>
        <w:t xml:space="preserve">Provides exact and similar evidence logs tied to incident identifiers</w:t>
      </w:r>
    </w:p>
    <w:p>
      <w:pPr/>
      <w:r>
        <w:rPr>
          <w:rFonts w:ascii="Helvetica Neue" w:hAnsi="Helvetica Neue" w:cs="Helvetica Neue"/>
          <w:sz w:val="24"/>
          <w:sz-cs w:val="24"/>
          <w:spacing w:val="0"/>
          <w:color w:val="181E2A"/>
        </w:rPr>
        <w:t xml:space="preserve">AI Reasoning</w:t>
      </w:r>
    </w:p>
    <w:p>
      <w:pPr/>
      <w:r>
        <w:rPr>
          <w:rFonts w:ascii="Helvetica Neue" w:hAnsi="Helvetica Neue" w:cs="Helvetica Neue"/>
          <w:sz w:val="24"/>
          <w:sz-cs w:val="24"/>
          <w:spacing w:val="0"/>
          <w:color w:val="181E2A"/>
        </w:rPr>
        <w:t xml:space="preserve">NVIDIA GPT-OSS-120B via ChatNVIDIA</w:t>
      </w:r>
    </w:p>
    <w:p>
      <w:pPr/>
      <w:r>
        <w:rPr>
          <w:rFonts w:ascii="Helvetica Neue" w:hAnsi="Helvetica Neue" w:cs="Helvetica Neue"/>
          <w:sz w:val="24"/>
          <w:sz-cs w:val="24"/>
          <w:spacing w:val="0"/>
          <w:color w:val="181E2A"/>
        </w:rPr>
        <w:t xml:space="preserve">Generates root cause hypotheses, resolution steps, categorization, confidence, and assignment recommendations</w:t>
      </w:r>
    </w:p>
    <w:p>
      <w:pPr/>
      <w:r>
        <w:rPr>
          <w:rFonts w:ascii="Helvetica Neue" w:hAnsi="Helvetica Neue" w:cs="Helvetica Neue"/>
          <w:sz w:val="24"/>
          <w:sz-cs w:val="24"/>
          <w:spacing w:val="0"/>
          <w:color w:val="181E2A"/>
        </w:rPr>
        <w:t xml:space="preserve">Testing</w:t>
      </w:r>
    </w:p>
    <w:p>
      <w:pPr/>
      <w:r>
        <w:rPr>
          <w:rFonts w:ascii="Helvetica Neue" w:hAnsi="Helvetica Neue" w:cs="Helvetica Neue"/>
          <w:sz w:val="24"/>
          <w:sz-cs w:val="24"/>
          <w:spacing w:val="0"/>
          <w:color w:val="181E2A"/>
        </w:rPr>
        <w:t xml:space="preserve">Python unittest and compileall</w:t>
      </w:r>
    </w:p>
    <w:p>
      <w:pPr/>
      <w:r>
        <w:rPr>
          <w:rFonts w:ascii="Helvetica Neue" w:hAnsi="Helvetica Neue" w:cs="Helvetica Neue"/>
          <w:sz w:val="24"/>
          <w:sz-cs w:val="24"/>
          <w:spacing w:val="0"/>
          <w:color w:val="181E2A"/>
        </w:rPr>
        <w:t xml:space="preserve">Validates logic, integrations, and basic code health</w:t>
      </w:r>
    </w:p>
    <w:p>
      <w:pPr/>
      <w:r>
        <w:rPr>
          <w:rFonts w:ascii="Helvetica Neue" w:hAnsi="Helvetica Neue" w:cs="Helvetica Neue"/>
          <w:sz w:val="24"/>
          <w:sz-cs w:val="24"/>
          <w:spacing w:val="0"/>
          <w:color w:val="181E2A"/>
        </w:rPr>
        <w:t xml:space="preserve">Documentation</w:t>
      </w:r>
    </w:p>
    <w:p>
      <w:pPr/>
      <w:r>
        <w:rPr>
          <w:rFonts w:ascii="Helvetica Neue" w:hAnsi="Helvetica Neue" w:cs="Helvetica Neue"/>
          <w:sz w:val="24"/>
          <w:sz-cs w:val="24"/>
          <w:spacing w:val="0"/>
          <w:color w:val="181E2A"/>
        </w:rPr>
        <w:t xml:space="preserve">README, quickstart guides, technical flow docs</w:t>
      </w:r>
    </w:p>
    <w:p>
      <w:pPr/>
      <w:r>
        <w:rPr>
          <w:rFonts w:ascii="Helvetica Neue" w:hAnsi="Helvetica Neue" w:cs="Helvetica Neue"/>
          <w:sz w:val="24"/>
          <w:sz-cs w:val="24"/>
          <w:spacing w:val="0"/>
          <w:color w:val="181E2A"/>
        </w:rPr>
        <w:t xml:space="preserve">Provides implementation clarity, operating instructions, and handoff readiness</w:t>
      </w:r>
    </w:p>
    <w:p>
      <w:pPr>
        <w:spacing w:after="200"/>
      </w:pPr>
      <w:r>
        <w:rPr>
          <w:rFonts w:ascii="Helvetica Neue" w:hAnsi="Helvetica Neue" w:cs="Helvetica Neue"/>
          <w:sz w:val="40"/>
          <w:sz-cs w:val="40"/>
          <w:b/>
          <w:spacing w:val="0"/>
          <w:color w:val="0D121F"/>
        </w:rPr>
        <w:t xml:space="preserve">6. Key Challenges and How They Were Solved</w:t>
      </w:r>
    </w:p>
    <w:p>
      <w:pPr/>
      <w:r>
        <w:rPr>
          <w:rFonts w:ascii="Helvetica Neue" w:hAnsi="Helvetica Neue" w:cs="Helvetica Neue"/>
          <w:sz w:val="24"/>
          <w:sz-cs w:val="24"/>
          <w:b/>
          <w:spacing w:val="0"/>
          <w:color w:val="0D121F"/>
        </w:rPr>
        <w:t xml:space="preserve">Challenge</w:t>
      </w:r>
    </w:p>
    <w:p>
      <w:pPr/>
      <w:r>
        <w:rPr>
          <w:rFonts w:ascii="Helvetica Neue" w:hAnsi="Helvetica Neue" w:cs="Helvetica Neue"/>
          <w:sz w:val="24"/>
          <w:sz-cs w:val="24"/>
          <w:b/>
          <w:spacing w:val="0"/>
          <w:color w:val="0D121F"/>
        </w:rPr>
        <w:t xml:space="preserve">Impact</w:t>
      </w:r>
    </w:p>
    <w:p>
      <w:pPr/>
      <w:r>
        <w:rPr>
          <w:rFonts w:ascii="Helvetica Neue" w:hAnsi="Helvetica Neue" w:cs="Helvetica Neue"/>
          <w:sz w:val="24"/>
          <w:sz-cs w:val="24"/>
          <w:b/>
          <w:spacing w:val="0"/>
          <w:color w:val="0D121F"/>
        </w:rPr>
        <w:t xml:space="preserve">Resolution</w:t>
      </w:r>
    </w:p>
    <w:p>
      <w:pPr/>
      <w:r>
        <w:rPr>
          <w:rFonts w:ascii="Helvetica Neue" w:hAnsi="Helvetica Neue" w:cs="Helvetica Neue"/>
          <w:sz w:val="24"/>
          <w:sz-cs w:val="24"/>
          <w:spacing w:val="0"/>
          <w:color w:val="181E2A"/>
        </w:rPr>
        <w:t xml:space="preserve">Webhook not firing correctly from ServiceNow</w:t>
      </w:r>
    </w:p>
    <w:p>
      <w:pPr/>
      <w:r>
        <w:rPr>
          <w:rFonts w:ascii="Helvetica Neue" w:hAnsi="Helvetica Neue" w:cs="Helvetica Neue"/>
          <w:sz w:val="24"/>
          <w:sz-cs w:val="24"/>
          <w:spacing w:val="0"/>
          <w:color w:val="181E2A"/>
        </w:rPr>
        <w:t xml:space="preserve">The local receiver was not reliably being called, which blocked real-time automation.</w:t>
      </w:r>
    </w:p>
    <w:p>
      <w:pPr/>
      <w:r>
        <w:rPr>
          <w:rFonts w:ascii="Helvetica Neue" w:hAnsi="Helvetica Neue" w:cs="Helvetica Neue"/>
          <w:sz w:val="24"/>
          <w:sz-cs w:val="24"/>
          <w:spacing w:val="0"/>
          <w:color w:val="181E2A"/>
        </w:rPr>
        <w:t xml:space="preserve">The ServiceNow Business Rule was corrected to use RESTMessageV2, the proper POST method, and after-insert execution.</w:t>
      </w:r>
    </w:p>
    <w:p>
      <w:pPr/>
      <w:r>
        <w:rPr>
          <w:rFonts w:ascii="Helvetica Neue" w:hAnsi="Helvetica Neue" w:cs="Helvetica Neue"/>
          <w:sz w:val="24"/>
          <w:sz-cs w:val="24"/>
          <w:spacing w:val="0"/>
          <w:color w:val="181E2A"/>
        </w:rPr>
        <w:t xml:space="preserve">Receiver writeback timing issues</w:t>
      </w:r>
    </w:p>
    <w:p>
      <w:pPr/>
      <w:r>
        <w:rPr>
          <w:rFonts w:ascii="Helvetica Neue" w:hAnsi="Helvetica Neue" w:cs="Helvetica Neue"/>
          <w:sz w:val="24"/>
          <w:sz-cs w:val="24"/>
          <w:spacing w:val="0"/>
          <w:color w:val="181E2A"/>
        </w:rPr>
        <w:t xml:space="preserve">Early webhook processing attempts could not comment on the incident reliably.</w:t>
      </w:r>
    </w:p>
    <w:p>
      <w:pPr/>
      <w:r>
        <w:rPr>
          <w:rFonts w:ascii="Helvetica Neue" w:hAnsi="Helvetica Neue" w:cs="Helvetica Neue"/>
          <w:sz w:val="24"/>
          <w:sz-cs w:val="24"/>
          <w:spacing w:val="0"/>
          <w:color w:val="181E2A"/>
        </w:rPr>
        <w:t xml:space="preserve">The flow was adjusted so the rule runs after the incident is fully available for REST updates.</w:t>
      </w:r>
    </w:p>
    <w:p>
      <w:pPr/>
      <w:r>
        <w:rPr>
          <w:rFonts w:ascii="Helvetica Neue" w:hAnsi="Helvetica Neue" w:cs="Helvetica Neue"/>
          <w:sz w:val="24"/>
          <w:sz-cs w:val="24"/>
          <w:spacing w:val="0"/>
          <w:color w:val="181E2A"/>
        </w:rPr>
        <w:t xml:space="preserve">Splunk Cloud authentication complexity</w:t>
      </w:r>
    </w:p>
    <w:p>
      <w:pPr/>
      <w:r>
        <w:rPr>
          <w:rFonts w:ascii="Helvetica Neue" w:hAnsi="Helvetica Neue" w:cs="Helvetica Neue"/>
          <w:sz w:val="24"/>
          <w:sz-cs w:val="24"/>
          <w:spacing w:val="0"/>
          <w:color w:val="181E2A"/>
        </w:rPr>
        <w:t xml:space="preserve">Direct management-port access was not available from the local environment.</w:t>
      </w:r>
    </w:p>
    <w:p>
      <w:pPr/>
      <w:r>
        <w:rPr>
          <w:rFonts w:ascii="Helvetica Neue" w:hAnsi="Helvetica Neue" w:cs="Helvetica Neue"/>
          <w:sz w:val="24"/>
          <w:sz-cs w:val="24"/>
          <w:spacing w:val="0"/>
          <w:color w:val="181E2A"/>
        </w:rPr>
        <w:t xml:space="preserve">A Splunk Web proxy login flow using cookies and CSRF handling was implemented to support authenticated search.</w:t>
      </w:r>
    </w:p>
    <w:p>
      <w:pPr/>
      <w:r>
        <w:rPr>
          <w:rFonts w:ascii="Helvetica Neue" w:hAnsi="Helvetica Neue" w:cs="Helvetica Neue"/>
          <w:sz w:val="24"/>
          <w:sz-cs w:val="24"/>
          <w:spacing w:val="0"/>
          <w:color w:val="181E2A"/>
        </w:rPr>
        <w:t xml:space="preserve">Exact match search returning noisy results</w:t>
      </w:r>
    </w:p>
    <w:p>
      <w:pPr/>
      <w:r>
        <w:rPr>
          <w:rFonts w:ascii="Helvetica Neue" w:hAnsi="Helvetica Neue" w:cs="Helvetica Neue"/>
          <w:sz w:val="24"/>
          <w:sz-cs w:val="24"/>
          <w:spacing w:val="0"/>
          <w:color w:val="181E2A"/>
        </w:rPr>
        <w:t xml:space="preserve">Broad OR matching across application and service fields produced unrelated logs.</w:t>
      </w:r>
    </w:p>
    <w:p>
      <w:pPr/>
      <w:r>
        <w:rPr>
          <w:rFonts w:ascii="Helvetica Neue" w:hAnsi="Helvetica Neue" w:cs="Helvetica Neue"/>
          <w:sz w:val="24"/>
          <w:sz-cs w:val="24"/>
          <w:spacing w:val="0"/>
          <w:color w:val="181E2A"/>
        </w:rPr>
        <w:t xml:space="preserve">The exact match strategy was redesigned to prioritize strong identifiers such as request ID and quote number first.</w:t>
      </w:r>
    </w:p>
    <w:p>
      <w:pPr/>
      <w:r>
        <w:rPr>
          <w:rFonts w:ascii="Helvetica Neue" w:hAnsi="Helvetica Neue" w:cs="Helvetica Neue"/>
          <w:sz w:val="24"/>
          <w:sz-cs w:val="24"/>
          <w:spacing w:val="0"/>
          <w:color w:val="181E2A"/>
        </w:rPr>
        <w:t xml:space="preserve">Splunk multi-value rows appearing duplicated</w:t>
      </w:r>
    </w:p>
    <w:p>
      <w:pPr/>
      <w:r>
        <w:rPr>
          <w:rFonts w:ascii="Helvetica Neue" w:hAnsi="Helvetica Neue" w:cs="Helvetica Neue"/>
          <w:sz w:val="24"/>
          <w:sz-cs w:val="24"/>
          <w:spacing w:val="0"/>
          <w:color w:val="181E2A"/>
        </w:rPr>
        <w:t xml:space="preserve">Evidence context and attachments became hard to read.</w:t>
      </w:r>
    </w:p>
    <w:p>
      <w:pPr/>
      <w:r>
        <w:rPr>
          <w:rFonts w:ascii="Helvetica Neue" w:hAnsi="Helvetica Neue" w:cs="Helvetica Neue"/>
          <w:sz w:val="24"/>
          <w:sz-cs w:val="24"/>
          <w:spacing w:val="0"/>
          <w:color w:val="181E2A"/>
        </w:rPr>
        <w:t xml:space="preserve">Search result normalization was added to collapse duplicate multi-value fields into clean scalar values.</w:t>
      </w:r>
    </w:p>
    <w:p>
      <w:pPr/>
      <w:r>
        <w:rPr>
          <w:rFonts w:ascii="Helvetica Neue" w:hAnsi="Helvetica Neue" w:cs="Helvetica Neue"/>
          <w:sz w:val="24"/>
          <w:sz-cs w:val="24"/>
          <w:spacing w:val="0"/>
          <w:color w:val="181E2A"/>
        </w:rPr>
        <w:t xml:space="preserve">ServiceNow attachment upload path mismatch</w:t>
      </w:r>
    </w:p>
    <w:p>
      <w:pPr/>
      <w:r>
        <w:rPr>
          <w:rFonts w:ascii="Helvetica Neue" w:hAnsi="Helvetica Neue" w:cs="Helvetica Neue"/>
          <w:sz w:val="24"/>
          <w:sz-cs w:val="24"/>
          <w:spacing w:val="0"/>
          <w:color w:val="181E2A"/>
        </w:rPr>
        <w:t xml:space="preserve">Evidence was found, but the attachment was not actually written back to the ticket.</w:t>
      </w:r>
    </w:p>
    <w:p>
      <w:pPr/>
      <w:r>
        <w:rPr>
          <w:rFonts w:ascii="Helvetica Neue" w:hAnsi="Helvetica Neue" w:cs="Helvetica Neue"/>
          <w:sz w:val="24"/>
          <w:sz-cs w:val="24"/>
          <w:spacing w:val="0"/>
          <w:color w:val="181E2A"/>
        </w:rPr>
        <w:t xml:space="preserve">The integration was corrected to use raw byte uploads with query parameters instead of multipart form upload.</w:t>
      </w:r>
    </w:p>
    <w:p>
      <w:pPr/>
      <w:r>
        <w:rPr>
          <w:rFonts w:ascii="Helvetica Neue" w:hAnsi="Helvetica Neue" w:cs="Helvetica Neue"/>
          <w:sz w:val="24"/>
          <w:sz-cs w:val="24"/>
          <w:spacing w:val="0"/>
          <w:color w:val="181E2A"/>
        </w:rPr>
        <w:t xml:space="preserve">Local ngrok bootstrap SSL issue</w:t>
      </w:r>
    </w:p>
    <w:p>
      <w:pPr/>
      <w:r>
        <w:rPr>
          <w:rFonts w:ascii="Helvetica Neue" w:hAnsi="Helvetica Neue" w:cs="Helvetica Neue"/>
          <w:sz w:val="24"/>
          <w:sz-cs w:val="24"/>
          <w:spacing w:val="0"/>
          <w:color w:val="181E2A"/>
        </w:rPr>
        <w:t xml:space="preserve">The older automatic tunnel setup path was unreliable on this machine.</w:t>
      </w:r>
    </w:p>
    <w:p>
      <w:pPr/>
      <w:r>
        <w:rPr>
          <w:rFonts w:ascii="Helvetica Neue" w:hAnsi="Helvetica Neue" w:cs="Helvetica Neue"/>
          <w:sz w:val="24"/>
          <w:sz-cs w:val="24"/>
          <w:spacing w:val="0"/>
          <w:color w:val="181E2A"/>
        </w:rPr>
        <w:t xml:space="preserve">The supported runtime was shifted to manual ngrok with a local listener on port 8081.</w:t>
      </w:r>
    </w:p>
    <w:p>
      <w:pPr>
        <w:spacing w:after="200"/>
      </w:pPr>
      <w:r>
        <w:rPr>
          <w:rFonts w:ascii="Helvetica Neue" w:hAnsi="Helvetica Neue" w:cs="Helvetica Neue"/>
          <w:sz w:val="40"/>
          <w:sz-cs w:val="40"/>
          <w:b/>
          <w:spacing w:val="0"/>
          <w:color w:val="0D121F"/>
        </w:rPr>
        <w:t xml:space="preserve">7. Real-World Implementation and Business Value</w:t>
      </w:r>
    </w:p>
    <w:p>
      <w:pPr>
        <w:spacing w:after="200"/>
      </w:pPr>
      <w:r>
        <w:rPr>
          <w:rFonts w:ascii="Helvetica Neue" w:hAnsi="Helvetica Neue" w:cs="Helvetica Neue"/>
          <w:sz w:val="24"/>
          <w:sz-cs w:val="24"/>
          <w:spacing w:val="0"/>
          <w:color w:val="181E2A"/>
        </w:rPr>
        <w:t xml:space="preserve">The implemented pattern is highly applicable in production support, insurance operations, banking platforms, healthcare systems, retail platforms, and enterprise integration environments. In these settings, incidents often originate from customer-facing failures but require evidence from a centralized logging system before they can be triaged effectively.</w:t>
      </w:r>
    </w:p>
    <w:p>
      <w:pPr>
        <w:spacing w:after="120"/>
      </w:pPr>
      <w:r>
        <w:rPr>
          <w:rFonts w:ascii="Helvetica Neue" w:hAnsi="Helvetica Neue" w:cs="Helvetica Neue"/>
          <w:sz w:val="30"/>
          <w:sz-cs w:val="30"/>
          <w:b/>
          <w:spacing w:val="0"/>
          <w:color w:val="0E121D"/>
        </w:rPr>
        <w:t xml:space="preserve">Practical Real-World Uses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Application support teams can receive incidents that already contain evidence-based analysis and initial routing.</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Operations teams can reduce mean time to triage because the first responder does not need to begin from a blank ticket.</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Support managers can standardize the quality of incident documentation across shifts and analysts.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Business-facing support teams can create tickets using business language while the system translates that into technical context.</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Audit and compliance teams benefit because the ticket contains both the AI reasoning and the attached evidence used during triage.</w:t>
      </w:r>
    </w:p>
    <w:p>
      <w:pPr>
        <w:spacing w:after="120"/>
      </w:pPr>
      <w:r>
        <w:rPr>
          <w:rFonts w:ascii="Helvetica Neue" w:hAnsi="Helvetica Neue" w:cs="Helvetica Neue"/>
          <w:sz w:val="30"/>
          <w:sz-cs w:val="30"/>
          <w:b/>
          <w:spacing w:val="0"/>
          <w:color w:val="0E121D"/>
        </w:rPr>
        <w:t xml:space="preserve">Expected Business Benefits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Reduced time spent manually searching logs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Faster assignment to the correct support team</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Improved consistency in incident comments and action history</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Clearer documentation for escalation and post-incident review</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Better operational scalability as ticket volume grows</w:t>
      </w:r>
    </w:p>
    <w:p>
      <w:pPr>
        <w:spacing w:after="200"/>
      </w:pPr>
      <w:r>
        <w:rPr>
          <w:rFonts w:ascii="Helvetica Neue" w:hAnsi="Helvetica Neue" w:cs="Helvetica Neue"/>
          <w:sz w:val="40"/>
          <w:sz-cs w:val="40"/>
          <w:b/>
          <w:spacing w:val="0"/>
          <w:color w:val="0D121F"/>
        </w:rPr>
        <w:t xml:space="preserve">8. Final Outcome and Live Validation</w:t>
      </w:r>
    </w:p>
    <w:p>
      <w:pPr>
        <w:spacing w:after="200"/>
      </w:pPr>
      <w:r>
        <w:rPr>
          <w:rFonts w:ascii="Helvetica Neue" w:hAnsi="Helvetica Neue" w:cs="Helvetica Neue"/>
          <w:sz w:val="24"/>
          <w:sz-cs w:val="24"/>
          <w:spacing w:val="0"/>
          <w:color w:val="181E2A"/>
        </w:rPr>
        <w:t xml:space="preserve">The final implementation was validated in a live ServiceNow PDI and Splunk Cloud environment. The confirmed success case was a temporary verification incident created on April 5 to 6, 2026. During that run, the system:</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received the incident through the webhook path in real time</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identified the correct exact-match Splunk evidence using request ID and quote number</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attached a text evidence report back to the incident</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added a dedicated evidence work note</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posted an AI incident analysis comment</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reassigned the incident to Application Development</w:t>
      </w:r>
    </w:p>
    <w:p>
      <w:pPr>
        <w:spacing w:after="200"/>
      </w:pPr>
      <w:r>
        <w:rPr>
          <w:rFonts w:ascii="Helvetica Neue" w:hAnsi="Helvetica Neue" w:cs="Helvetica Neue"/>
          <w:sz w:val="24"/>
          <w:sz-cs w:val="24"/>
          <w:spacing w:val="0"/>
          <w:color w:val="181E2A"/>
        </w:rPr>
        <w:t xml:space="preserve">After verification, the temporary test and debugging incidents used during implementation were removed from the ServiceNow instance to leave the environment clean.</w:t>
      </w:r>
    </w:p>
    <w:p>
      <w:pPr>
        <w:spacing w:after="200"/>
      </w:pPr>
      <w:r>
        <w:rPr>
          <w:rFonts w:ascii="Helvetica Neue" w:hAnsi="Helvetica Neue" w:cs="Helvetica Neue"/>
          <w:sz w:val="40"/>
          <w:sz-cs w:val="40"/>
          <w:b/>
          <w:spacing w:val="0"/>
          <w:color w:val="0D121F"/>
        </w:rPr>
        <w:t xml:space="preserve">9. Recommendations for Production Rollout</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Replace the local ngrok tunnel with a stable hosted endpoint or an internal gateway for long-term deployment.</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Move secrets from local environment files into a secure secret manager or platform credential vault.</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Add stronger incident field mapping so custom ServiceNow fields can be searched without relying on free text.</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Persist structured evidence metadata for reporting and analytics.</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Introduce role-based controls around auto-reassignment and future auto-resolution logic.</w:t>
      </w:r>
    </w:p>
    <w:p>
      <w:pPr>
        <w:ind w:left="720" w:first-line="-720"/>
        <w:spacing w:after="80"/>
      </w:pPr>
      <w:r>
        <w:rPr>
          <w:rFonts w:ascii="Helvetica Neue" w:hAnsi="Helvetica Neue" w:cs="Helvetica Neue"/>
          <w:sz w:val="24"/>
          <w:sz-cs w:val="24"/>
          <w:color w:val="181E2A"/>
        </w:rPr>
        <w:t xml:space="preserve"/>
        <w:tab/>
        <w:t xml:space="preserve">•</w:t>
        <w:tab/>
        <w:t xml:space="preserve"/>
      </w:r>
      <w:r>
        <w:rPr>
          <w:rFonts w:ascii="Helvetica Neue" w:hAnsi="Helvetica Neue" w:cs="Helvetica Neue"/>
          <w:sz w:val="24"/>
          <w:sz-cs w:val="24"/>
          <w:spacing w:val="0"/>
          <w:color w:val="181E2A"/>
        </w:rPr>
        <w:t xml:space="preserve">Expand testing to include scheduled integration smoke tests against non-production ServiceNow and Splunk environments.</w:t>
      </w:r>
    </w:p>
    <w:p>
      <w:pPr>
        <w:spacing w:after="200"/>
      </w:pPr>
      <w:r>
        <w:rPr>
          <w:rFonts w:ascii="Helvetica Neue" w:hAnsi="Helvetica Neue" w:cs="Helvetica Neue"/>
          <w:sz w:val="40"/>
          <w:sz-cs w:val="40"/>
          <w:b/>
          <w:spacing w:val="0"/>
          <w:color w:val="0D121F"/>
        </w:rPr>
        <w:t xml:space="preserve">10. Conclusion</w:t>
      </w:r>
    </w:p>
    <w:p>
      <w:pPr>
        <w:spacing w:after="200"/>
      </w:pPr>
      <w:r>
        <w:rPr>
          <w:rFonts w:ascii="Helvetica Neue" w:hAnsi="Helvetica Neue" w:cs="Helvetica Neue"/>
          <w:sz w:val="24"/>
          <w:sz-cs w:val="24"/>
          <w:spacing w:val="0"/>
          <w:color w:val="181E2A"/>
        </w:rPr>
        <w:t xml:space="preserve">This project demonstrates a practical AI-assisted operations workflow rather than a theoretical prototype. It connects the ticketing layer, evidence layer, and reasoning layer into a single incident-processing pipeline. The result is a more actionable, evidence-backed, and scalable incident triage process that aligns well with real production support needs.</w:t>
      </w:r>
    </w:p>
    <w:p>
      <w:pPr/>
      <w:r>
        <w:rPr>
          <w:rFonts w:ascii="Helvetica Neue" w:hAnsi="Helvetica Neue" w:cs="Helvetica Neue"/>
          <w:sz w:val="22"/>
          <w:sz-cs w:val="22"/>
          <w:spacing w:val="0"/>
          <w:color w:val="526078"/>
        </w:rPr>
        <w:t xml:space="preserve">Prepared as the final presentable handoff document for the ServiceNow Incident AI Analyzer project.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