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42.png" ContentType="image/png"/>
  <Override PartName="/word/media/rId44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  <w:r>
        <w:t xml:space="preserve"> </w:t>
      </w:r>
      <w:r>
        <w:t xml:space="preserve">(conclusão)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estatísticos para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Spatiotemporal patterns of carrion biomass of marine tetrapods in the interface ocean-land in the southern Brazilian coastline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Maurício Tavares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Biologia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Biociências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</w:t>
      </w:r>
    </w:p>
    <w:p>
      <w:pPr>
        <w:pStyle w:val="Corpodetexto"/>
      </w:pPr>
      <w:r>
        <w:t xml:space="preserve">A seguir são apresentados os objetivos do trabalho de doutorado, as variáveis do estudo e análise estatística.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Fornecer uma quantificação robusta e abrangente da biomassa de carcaças no importante e ainda pouco estudado ecossistema: a interface oceano-terra.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Descrever a distribuição espaço-temporal da biomassa de carcaças de animais marinhos encalhados na costa litorânea brasileira.</w:t>
      </w:r>
    </w:p>
    <w:p>
      <w:pPr>
        <w:pStyle w:val="Compact"/>
        <w:numPr>
          <w:numId w:val="1002"/>
          <w:ilvl w:val="0"/>
        </w:numPr>
      </w:pPr>
      <w:r>
        <w:t xml:space="preserve">Estimar a quantidade de biomassa das carcaças dos animais marinhos encalhados (separada por espécie e multiplicada pela abundância de cada uma).</w:t>
      </w:r>
    </w:p>
    <w:p>
      <w:pPr>
        <w:pStyle w:val="Ttulo1"/>
      </w:pPr>
      <w:bookmarkStart w:id="26" w:name="análise-estatística"/>
      <w:r>
        <w:t xml:space="preserve">Análise estatística</w:t>
      </w:r>
      <w:bookmarkEnd w:id="26"/>
    </w:p>
    <w:p>
      <w:pPr>
        <w:pStyle w:val="FirstParagraph"/>
      </w:pPr>
      <w:r>
        <w:t xml:space="preserve">A análise estatísica empregada no artigo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Spatiotemporal patterns of carrion biomass of marine tetrapods in the interface ocean-land in the southern Brazilian coastline</w:t>
      </w:r>
      <w:r>
        <w:rPr>
          <w:i/>
        </w:rPr>
        <w:t xml:space="preserve">”</w:t>
      </w:r>
      <w:r>
        <w:t xml:space="preserve"> </w:t>
      </w:r>
      <w:r>
        <w:t xml:space="preserve">responde aos objetivos do mesmo.</w:t>
      </w:r>
    </w:p>
    <w:p>
      <w:pPr>
        <w:pStyle w:val="Ttulo2"/>
      </w:pPr>
      <w:bookmarkStart w:id="27" w:name="sugestões-de-análise"/>
      <w:r>
        <w:t xml:space="preserve">Sugestões de análise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Verificação do código da análise estatística;</w:t>
      </w:r>
    </w:p>
    <w:p>
      <w:pPr>
        <w:pStyle w:val="Compact"/>
        <w:numPr>
          <w:numId w:val="1003"/>
          <w:ilvl w:val="0"/>
        </w:numPr>
      </w:pPr>
      <w:r>
        <w:t xml:space="preserve">Reanálise a partir do código da análise estatística;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Análise de dados circulares:</w:t>
      </w:r>
      <w:r>
        <w:t xml:space="preserve"> </w:t>
      </w:r>
      <w:r>
        <w:t xml:space="preserve">descrição dos dados anuais de abundância e riqueza de espécies, pode ser realizado teste de distribuição uniforme ao longo do ano (contra a alternativa de agrupamentos em torno de alguns períodos específicos no tempo).</w:t>
      </w:r>
    </w:p>
    <w:p>
      <w:pPr>
        <w:pStyle w:val="Compact"/>
        <w:numPr>
          <w:numId w:val="1004"/>
          <w:ilvl w:val="1"/>
        </w:numPr>
      </w:pPr>
      <w:r>
        <w:t xml:space="preserve">Teste de Rayleigh 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Watson;</w:t>
      </w:r>
    </w:p>
    <w:p>
      <w:pPr>
        <w:pStyle w:val="Compact"/>
        <w:numPr>
          <w:numId w:val="1004"/>
          <w:ilvl w:val="1"/>
        </w:numPr>
      </w:pPr>
      <w:r>
        <w:t xml:space="preserve">Pacote em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rPr>
          <w:rStyle w:val="VerbatimChar"/>
        </w:rPr>
        <w:t xml:space="preserve">circular</w:t>
      </w:r>
    </w:p>
    <w:p>
      <w:pPr>
        <w:pStyle w:val="Compact"/>
        <w:numPr>
          <w:numId w:val="1003"/>
          <w:ilvl w:val="0"/>
        </w:numPr>
      </w:pPr>
      <w:r>
        <w:t xml:space="preserve">Estimativa do erro padrão relativo.</w:t>
      </w:r>
    </w:p>
    <w:p>
      <w:r>
        <w:br w:type="page"/>
      </w:r>
    </w:p>
    <w:p>
      <w:pPr>
        <w:pStyle w:val="Ttulo1"/>
      </w:pPr>
      <w:bookmarkStart w:id="28" w:name="análises"/>
      <w:r>
        <w:t xml:space="preserve">Análises</w:t>
      </w:r>
      <w:bookmarkEnd w:id="28"/>
    </w:p>
    <w:p>
      <w:pPr>
        <w:pStyle w:val="Ttulo2"/>
      </w:pPr>
      <w:bookmarkStart w:id="29" w:name="código-da-análise-estatística"/>
      <w:r>
        <w:t xml:space="preserve">Código da Análise Estatística</w:t>
      </w:r>
      <w:bookmarkEnd w:id="29"/>
    </w:p>
    <w:p>
      <w:r>
        <w:br w:type="page"/>
      </w:r>
    </w:p>
    <w:p>
      <w:pPr>
        <w:pStyle w:val="Ttulo2"/>
      </w:pPr>
      <w:bookmarkStart w:id="30" w:name="estatística-circular"/>
      <w:r>
        <w:t xml:space="preserve">Estatística Circular</w:t>
      </w:r>
      <w:bookmarkEnd w:id="30"/>
    </w:p>
    <w:p>
      <w:pPr>
        <w:pStyle w:val="Ttulo3"/>
      </w:pPr>
      <w:bookmarkStart w:id="31" w:name="grupo-geral"/>
      <w:r>
        <w:t xml:space="preserve">Grupo Geral</w:t>
      </w:r>
      <w:bookmarkEnd w:id="31"/>
    </w:p>
    <w:p>
      <w:pPr>
        <w:pStyle w:val="SourceCode"/>
      </w:pPr>
      <w:r>
        <w:rPr>
          <w:rStyle w:val="NormalTok"/>
        </w:rPr>
        <w:t xml:space="preserve">geral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geral_rad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(geral)</w:t>
      </w:r>
      <w:r>
        <w:br/>
      </w:r>
      <w:r>
        <w:rPr>
          <w:rStyle w:val="NormalTok"/>
        </w:rPr>
        <w:t xml:space="preserve">geral_circ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(geral_rad)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Novembro(N).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(geral_circ)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357.5613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(geral_circ)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0.462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(geral_circ,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587.696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3" w:name="mysticeti"/>
      <w:r>
        <w:t xml:space="preserve">Mysticeti</w:t>
      </w:r>
      <w:bookmarkEnd w:id="33"/>
    </w:p>
    <w:p>
      <w:pPr>
        <w:pStyle w:val="SourceCode"/>
      </w:pPr>
      <w:r>
        <w:rPr>
          <w:rStyle w:val="NormalTok"/>
        </w:rPr>
        <w:t xml:space="preserve">mysti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mysti_rad&lt;-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(mysti)</w:t>
      </w:r>
      <w:r>
        <w:br/>
      </w:r>
      <w:r>
        <w:rPr>
          <w:rStyle w:val="NormalTok"/>
        </w:rPr>
        <w:t xml:space="preserve">mysti_circ&lt;-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(mysti_rad)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"Mysticeti"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Novembro(N).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(mysti_circ)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166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(mysti_circ)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0.4359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1.8779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5" w:name="odontoceti"/>
      <w:r>
        <w:t xml:space="preserve">Odontoceti</w:t>
      </w:r>
      <w:bookmarkEnd w:id="35"/>
    </w:p>
    <w:p>
      <w:pPr>
        <w:pStyle w:val="SourceCode"/>
      </w:pPr>
      <w:r>
        <w:rPr>
          <w:rStyle w:val="NormalTok"/>
        </w:rPr>
        <w:t xml:space="preserve">odonto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odonto_rad&lt;-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(odonto)</w:t>
      </w:r>
      <w:r>
        <w:br/>
      </w:r>
      <w:r>
        <w:rPr>
          <w:rStyle w:val="NormalTok"/>
        </w:rPr>
        <w:t xml:space="preserve">odonto_circ&lt;-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(odonto_rad)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"Odontoceti"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Dezembro(D).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(odonto_circ)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319.0883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(odonto_circ)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0.2645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11.1617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7" w:name="pinipedia"/>
      <w:r>
        <w:t xml:space="preserve">Pinipedia</w:t>
      </w:r>
      <w:bookmarkEnd w:id="37"/>
    </w:p>
    <w:p>
      <w:pPr>
        <w:pStyle w:val="SourceCode"/>
      </w:pPr>
      <w:r>
        <w:rPr>
          <w:rStyle w:val="NormalTok"/>
        </w:rPr>
        <w:t xml:space="preserve">pini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pini_rad&lt;-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(pini)</w:t>
      </w:r>
      <w:r>
        <w:br/>
      </w:r>
      <w:r>
        <w:rPr>
          <w:rStyle w:val="NormalTok"/>
        </w:rPr>
        <w:t xml:space="preserve">pini_circ&lt;-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(pini_rad)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"Pinipedia"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Outubro(O).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(pini_circ)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293.8776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(pini_circ)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0.8342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29.7304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39" w:name="procellariiformes"/>
      <w:r>
        <w:t xml:space="preserve">Procellariiformes</w:t>
      </w:r>
      <w:bookmarkEnd w:id="39"/>
    </w:p>
    <w:p>
      <w:pPr>
        <w:pStyle w:val="SourceCode"/>
      </w:pPr>
      <w:r>
        <w:rPr>
          <w:rStyle w:val="NormalTok"/>
        </w:rPr>
        <w:t xml:space="preserve">proce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proce_rad&lt;-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(proce)</w:t>
      </w:r>
      <w:r>
        <w:br/>
      </w:r>
      <w:r>
        <w:rPr>
          <w:rStyle w:val="NormalTok"/>
        </w:rPr>
        <w:t xml:space="preserve">proce_circ&lt;-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(proce_rad)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"Procellariiformes"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Outubro(O) a Dezembro(D).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(proce_circ)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344.8542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(proce_circ)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0.484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110.9215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41" w:name="seaturtles"/>
      <w:r>
        <w:t xml:space="preserve">SeaTurtles</w:t>
      </w:r>
      <w:bookmarkEnd w:id="41"/>
    </w:p>
    <w:p>
      <w:pPr>
        <w:pStyle w:val="SourceCode"/>
      </w:pPr>
      <w:r>
        <w:rPr>
          <w:rStyle w:val="NormalTok"/>
        </w:rPr>
        <w:t xml:space="preserve">turtles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turtles_rad&lt;-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(turtles)</w:t>
      </w:r>
      <w:r>
        <w:br/>
      </w:r>
      <w:r>
        <w:rPr>
          <w:rStyle w:val="NormalTok"/>
        </w:rPr>
        <w:t xml:space="preserve">turtles_circ&lt;-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(turtles_rad)</w:t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"SeaTurtles"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Julho(J) a Janeiro(J).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(turtles_circ)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354.4092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(turtles_circ)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0.206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51.0521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43" w:name="sphenisciformes"/>
      <w:r>
        <w:t xml:space="preserve">Sphenisciformes</w:t>
      </w:r>
      <w:bookmarkEnd w:id="43"/>
    </w:p>
    <w:p>
      <w:pPr>
        <w:pStyle w:val="SourceCode"/>
      </w:pPr>
      <w:r>
        <w:rPr>
          <w:rStyle w:val="NormalTok"/>
        </w:rPr>
        <w:t xml:space="preserve">spheni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spheni_rad&lt;-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(spheni)</w:t>
      </w:r>
      <w:r>
        <w:br/>
      </w:r>
      <w:r>
        <w:rPr>
          <w:rStyle w:val="NormalTok"/>
        </w:rPr>
        <w:t xml:space="preserve">spheni_circ&lt;-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(spheni_rad)</w:t>
      </w:r>
      <w:r>
        <w:br/>
      </w:r>
      <w:r>
        <w:br/>
      </w:r>
      <w:r>
        <w:br/>
      </w:r>
      <w:r>
        <w:rPr>
          <w:rStyle w:val="CommentTok"/>
        </w:rPr>
        <w:t xml:space="preserve">## Gráficos</w:t>
      </w:r>
      <w:r>
        <w:br/>
      </w:r>
      <w:r>
        <w:br/>
      </w:r>
      <w:r>
        <w:rPr>
          <w:rStyle w:val="CommentTok"/>
        </w:rPr>
        <w:t xml:space="preserve"># frequência</w:t>
      </w:r>
      <w:r>
        <w:br/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"Sphenisciformes"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_analise_mauricio--conclusão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Como pode-se notar pelo gráfico acima, temos uma maior concentração no período de Agosto(A) a Outubro(O). Podemos realizar teste de hipóteses para averiguar se, de fato, há uma diferença na distribuição dos dados ao longo do ano.</w:t>
      </w:r>
    </w:p>
    <w:p>
      <w:pPr>
        <w:pStyle w:val="SourceCode"/>
      </w:pPr>
      <w:r>
        <w:rPr>
          <w:rStyle w:val="CommentTok"/>
        </w:rPr>
        <w:t xml:space="preserve">## Testes de Hipóteses</w:t>
      </w:r>
      <w:r>
        <w:br/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(spheni_circ)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Rao's Spacing Test of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 = 355.7009 </w:t>
      </w:r>
      <w:r>
        <w:br/>
      </w:r>
      <w:r>
        <w:rPr>
          <w:rStyle w:val="VerbatimChar"/>
        </w:rPr>
        <w:t xml:space="preserve">## P-value &lt; 0.001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rayleigh.test</w:t>
      </w:r>
      <w:r>
        <w:rPr>
          <w:rStyle w:val="NormalTok"/>
        </w:rPr>
        <w:t xml:space="preserve">(spheni_circ)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Rayleigh Test of Uniformity </w:t>
      </w:r>
      <w:r>
        <w:br/>
      </w:r>
      <w:r>
        <w:rPr>
          <w:rStyle w:val="VerbatimChar"/>
        </w:rPr>
        <w:t xml:space="preserve">##        General Unimodal Alternative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0.832 </w:t>
      </w:r>
      <w:r>
        <w:br/>
      </w:r>
      <w:r>
        <w:rPr>
          <w:rStyle w:val="VerbatimChar"/>
        </w:rPr>
        <w:t xml:space="preserve">## P-value:  0</w:t>
      </w:r>
    </w:p>
    <w:p>
      <w:pPr>
        <w:pStyle w:val="SourceCode"/>
      </w:pPr>
      <w:r>
        <w:rPr>
          <w:rStyle w:val="KeywordTok"/>
        </w:rPr>
        <w:t xml:space="preserve">watson.test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Watson's Test for Circular Uniformity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Test Statistic: 712.2958 </w:t>
      </w:r>
      <w:r>
        <w:br/>
      </w:r>
      <w:r>
        <w:rPr>
          <w:rStyle w:val="VerbatimChar"/>
        </w:rPr>
        <w:t xml:space="preserve">## P-value &lt; 0.01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podemos notar pelos testes acima, rejeitamos a hipótese de os dados estarem distribuídos uniformemente ao longo do ano.</w:t>
      </w:r>
    </w:p>
    <w:p>
      <w:pPr>
        <w:pStyle w:val="Ttulo3"/>
      </w:pPr>
      <w:bookmarkStart w:id="45" w:name="todos-juntos"/>
      <w:r>
        <w:t xml:space="preserve">Todos juntos</w:t>
      </w:r>
      <w:bookmarkEnd w:id="4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br w:type="page"/>
      </w:r>
    </w:p>
    <w:p>
      <w:pPr>
        <w:pStyle w:val="Ttulo2"/>
      </w:pPr>
      <w:bookmarkStart w:id="46" w:name="estimativa-do-erro-padrão-relativo"/>
      <w:r>
        <w:t xml:space="preserve">Estimativa do Erro Padrão Relativo</w:t>
      </w:r>
      <w:bookmarkEnd w:id="46"/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da Assessoria (conclusão)</dc:title>
  <dc:creator/>
  <cp:keywords/>
  <dcterms:created xsi:type="dcterms:W3CDTF">2020-10-14T17:37:25Z</dcterms:created>
  <dcterms:modified xsi:type="dcterms:W3CDTF">2020-10-14T17:37:25Z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14 de outubro de 2020</vt:lpwstr>
  </property>
  <property fmtid="{D5CDD505-2E9C-101B-9397-08002B2CF9AE}" pid="3" name="output">
    <vt:lpwstr/>
  </property>
</Properties>
</file>