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 resultados estatísticos da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métodos"/>
      <w:r>
        <w:t xml:space="preserve">Métodos</w:t>
      </w:r>
      <w:bookmarkEnd w:id="26"/>
    </w:p>
    <w:p>
      <w:pPr>
        <w:pStyle w:val="FirstParagraph"/>
      </w:pPr>
      <w:r>
        <w:t xml:space="preserve">Os dados de abundância foram coletados entre setembro de 2016 e agosto de 2019.</w:t>
      </w:r>
    </w:p>
    <w:p>
      <w:pPr>
        <w:pStyle w:val="Ttulo2"/>
      </w:pPr>
      <w:bookmarkStart w:id="27" w:name="análise-estatística"/>
      <w:r>
        <w:t xml:space="preserve">Análise estatística</w:t>
      </w:r>
      <w:bookmarkEnd w:id="27"/>
    </w:p>
    <w:p>
      <w:pPr>
        <w:pStyle w:val="FirstParagraph"/>
      </w:pPr>
      <w:r>
        <w:t xml:space="preserve">Os dados de abundância foram transformados para radianos e foram descritos por estatísticas circulares descritivas e gráficos de histogramas circulares (diagramas de roseta). A hipótese de distribuição uniforme foi avaliada com o teste de Rayleigh ou o teste de Rao, de acordo com a distribuição (von Mises; unimodal ou multimodal). A suposição de distribuição de von Mises foi avalida utilizando o teste de aderência de Watson. Todas as análises foram estratificadas por grupo de tetrápodes. As análises foram realizadas no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4.0.2 com o pacote</w:t>
      </w:r>
      <w:r>
        <w:t xml:space="preserve"> </w:t>
      </w:r>
      <w:r>
        <w:rPr>
          <w:rStyle w:val="VerbatimChar"/>
        </w:rPr>
        <w:t xml:space="preserve">circular</w:t>
      </w:r>
      <w:r>
        <w:t xml:space="preserve">.</w:t>
      </w:r>
    </w:p>
    <w:p>
      <w:r>
        <w:br w:type="page"/>
      </w:r>
    </w:p>
    <w:p>
      <w:pPr>
        <w:pStyle w:val="Ttulo1"/>
      </w:pPr>
      <w:bookmarkStart w:id="28" w:name="resultados"/>
      <w:r>
        <w:t xml:space="preserve">Resultados</w:t>
      </w:r>
      <w:bookmarkEnd w:id="28"/>
    </w:p>
    <w:p>
      <w:pPr>
        <w:pStyle w:val="FirstParagraph"/>
      </w:pPr>
      <w:r>
        <w:t xml:space="preserve">As principais estatísticas circulares descritivas da abundância são apresentadas na tabela a seguir.</w:t>
      </w:r>
    </w:p>
    <w:p>
      <w:pPr>
        <w:pStyle w:val="TableCaption"/>
      </w:pPr>
      <w:r>
        <w:t xml:space="preserve">Tabela 1: Estatísticas circulares descritivas</w:t>
      </w:r>
    </w:p>
    <w:tbl>
      <w:tblPr>
        <w:tblStyle w:val="Table"/>
        <w:tblW w:type="pct" w:w="0.0"/>
        <w:tblLook w:firstRow="1"/>
        <w:tblCaption w:val="Tabela 1: Estatísticas circulares descritiv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Mysticeti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1.484</w:t>
            </w:r>
          </w:p>
        </w:tc>
        <w:tc>
          <w:p>
            <w:pPr>
              <w:pStyle w:val="Compact"/>
              <w:jc w:val="right"/>
            </w:pPr>
            <w:r>
              <w:t xml:space="preserve">-2.531</w:t>
            </w:r>
          </w:p>
        </w:tc>
        <w:tc>
          <w:p>
            <w:pPr>
              <w:pStyle w:val="Compact"/>
              <w:jc w:val="right"/>
            </w:pPr>
            <w:r>
              <w:t xml:space="preserve">-1.693</w:t>
            </w:r>
          </w:p>
        </w:tc>
        <w:tc>
          <w:p>
            <w:pPr>
              <w:pStyle w:val="Compact"/>
              <w:jc w:val="right"/>
            </w:pPr>
            <w:r>
              <w:t xml:space="preserve">-1.684</w:t>
            </w:r>
          </w:p>
        </w:tc>
        <w:tc>
          <w:p>
            <w:pPr>
              <w:pStyle w:val="Compact"/>
              <w:jc w:val="right"/>
            </w:pPr>
            <w:r>
              <w:t xml:space="preserve">-0.921</w:t>
            </w:r>
          </w:p>
        </w:tc>
        <w:tc>
          <w:p>
            <w:pPr>
              <w:pStyle w:val="Compact"/>
              <w:jc w:val="right"/>
            </w:pPr>
            <w:r>
              <w:t xml:space="preserve">1.431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Odontoceti</w:t>
            </w:r>
          </w:p>
        </w:tc>
        <w:tc>
          <w:p>
            <w:pPr>
              <w:pStyle w:val="Compact"/>
              <w:jc w:val="right"/>
            </w:pPr>
            <w:r>
              <w:t xml:space="preserve">3115</w:t>
            </w:r>
          </w:p>
        </w:tc>
        <w:tc>
          <w:p>
            <w:pPr>
              <w:pStyle w:val="Compact"/>
              <w:jc w:val="right"/>
            </w:pPr>
            <w:r>
              <w:t xml:space="preserve">1.885</w:t>
            </w:r>
          </w:p>
        </w:tc>
        <w:tc>
          <w:p>
            <w:pPr>
              <w:pStyle w:val="Compact"/>
              <w:jc w:val="right"/>
            </w:pPr>
            <w:r>
              <w:t xml:space="preserve">-2.391</w:t>
            </w:r>
          </w:p>
        </w:tc>
        <w:tc>
          <w:p>
            <w:pPr>
              <w:pStyle w:val="Compact"/>
              <w:jc w:val="right"/>
            </w:pPr>
            <w:r>
              <w:t xml:space="preserve">-1.274</w:t>
            </w:r>
          </w:p>
        </w:tc>
        <w:tc>
          <w:p>
            <w:pPr>
              <w:pStyle w:val="Compact"/>
              <w:jc w:val="right"/>
            </w:pPr>
            <w:r>
              <w:t xml:space="preserve">-1.270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1.868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Pinipedia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1.518</w:t>
            </w:r>
          </w:p>
        </w:tc>
        <w:tc>
          <w:p>
            <w:pPr>
              <w:pStyle w:val="Compact"/>
              <w:jc w:val="right"/>
            </w:pPr>
            <w:r>
              <w:t xml:space="preserve">-2.409</w:t>
            </w:r>
          </w:p>
        </w:tc>
        <w:tc>
          <w:p>
            <w:pPr>
              <w:pStyle w:val="Compact"/>
              <w:jc w:val="right"/>
            </w:pPr>
            <w:r>
              <w:t xml:space="preserve">-2.077</w:t>
            </w:r>
          </w:p>
        </w:tc>
        <w:tc>
          <w:p>
            <w:pPr>
              <w:pStyle w:val="Compact"/>
              <w:jc w:val="right"/>
            </w:pPr>
            <w:r>
              <w:t xml:space="preserve">-2.059</w:t>
            </w:r>
          </w:p>
        </w:tc>
        <w:tc>
          <w:p>
            <w:pPr>
              <w:pStyle w:val="Compact"/>
              <w:jc w:val="right"/>
            </w:pPr>
            <w:r>
              <w:t xml:space="preserve">-1.763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Procellariiformes</w:t>
            </w:r>
          </w:p>
        </w:tc>
        <w:tc>
          <w:p>
            <w:pPr>
              <w:pStyle w:val="Compact"/>
              <w:jc w:val="right"/>
            </w:pPr>
            <w:r>
              <w:t xml:space="preserve">7511</w:t>
            </w:r>
          </w:p>
        </w:tc>
        <w:tc>
          <w:p>
            <w:pPr>
              <w:pStyle w:val="Compact"/>
              <w:jc w:val="right"/>
            </w:pPr>
            <w:r>
              <w:t xml:space="preserve">1.658</w:t>
            </w:r>
          </w:p>
        </w:tc>
        <w:tc>
          <w:p>
            <w:pPr>
              <w:pStyle w:val="Compact"/>
              <w:jc w:val="right"/>
            </w:pPr>
            <w:r>
              <w:t xml:space="preserve">-2.635</w:t>
            </w:r>
          </w:p>
        </w:tc>
        <w:tc>
          <w:p>
            <w:pPr>
              <w:pStyle w:val="Compact"/>
              <w:jc w:val="right"/>
            </w:pPr>
            <w:r>
              <w:t xml:space="preserve">-1.484</w:t>
            </w:r>
          </w:p>
        </w:tc>
        <w:tc>
          <w:p>
            <w:pPr>
              <w:pStyle w:val="Compact"/>
              <w:jc w:val="right"/>
            </w:pPr>
            <w:r>
              <w:t xml:space="preserve">-1.625</w:t>
            </w:r>
          </w:p>
        </w:tc>
        <w:tc>
          <w:p>
            <w:pPr>
              <w:pStyle w:val="Compact"/>
              <w:jc w:val="right"/>
            </w:pPr>
            <w:r>
              <w:t xml:space="preserve">-1.047</w:t>
            </w:r>
          </w:p>
        </w:tc>
        <w:tc>
          <w:p>
            <w:pPr>
              <w:pStyle w:val="Compact"/>
              <w:jc w:val="right"/>
            </w:pPr>
            <w:r>
              <w:t xml:space="preserve">1.641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 Turtles</w:t>
            </w:r>
          </w:p>
        </w:tc>
        <w:tc>
          <w:p>
            <w:pPr>
              <w:pStyle w:val="Compact"/>
              <w:jc w:val="right"/>
            </w:pPr>
            <w:r>
              <w:t xml:space="preserve">23050</w:t>
            </w:r>
          </w:p>
        </w:tc>
        <w:tc>
          <w:p>
            <w:pPr>
              <w:pStyle w:val="Compact"/>
              <w:jc w:val="right"/>
            </w:pPr>
            <w:r>
              <w:t xml:space="preserve">1.431</w:t>
            </w:r>
          </w:p>
        </w:tc>
        <w:tc>
          <w:p>
            <w:pPr>
              <w:pStyle w:val="Compact"/>
              <w:jc w:val="right"/>
            </w:pPr>
            <w:r>
              <w:t xml:space="preserve">-2.967</w:t>
            </w:r>
          </w:p>
        </w:tc>
        <w:tc>
          <w:p>
            <w:pPr>
              <w:pStyle w:val="Compact"/>
              <w:jc w:val="right"/>
            </w:pPr>
            <w:r>
              <w:t xml:space="preserve">-1.728</w:t>
            </w:r>
          </w:p>
        </w:tc>
        <w:tc>
          <w:p>
            <w:pPr>
              <w:pStyle w:val="Compact"/>
              <w:jc w:val="right"/>
            </w:pPr>
            <w:r>
              <w:t xml:space="preserve">-1.709</w:t>
            </w:r>
          </w:p>
        </w:tc>
        <w:tc>
          <w:p>
            <w:pPr>
              <w:pStyle w:val="Compact"/>
              <w:jc w:val="right"/>
            </w:pPr>
            <w:r>
              <w:t xml:space="preserve">-0.524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Sphenisciformes</w:t>
            </w:r>
          </w:p>
        </w:tc>
        <w:tc>
          <w:p>
            <w:pPr>
              <w:pStyle w:val="Compact"/>
              <w:jc w:val="right"/>
            </w:pPr>
            <w:r>
              <w:t xml:space="preserve">18260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-2.496</w:t>
            </w:r>
          </w:p>
        </w:tc>
        <w:tc>
          <w:p>
            <w:pPr>
              <w:pStyle w:val="Compact"/>
              <w:jc w:val="right"/>
            </w:pPr>
            <w:r>
              <w:t xml:space="preserve">-2.094</w:t>
            </w:r>
          </w:p>
        </w:tc>
        <w:tc>
          <w:p>
            <w:pPr>
              <w:pStyle w:val="Compact"/>
              <w:jc w:val="right"/>
            </w:pPr>
            <w:r>
              <w:t xml:space="preserve">-2.096</w:t>
            </w:r>
          </w:p>
        </w:tc>
        <w:tc>
          <w:p>
            <w:pPr>
              <w:pStyle w:val="Compact"/>
              <w:jc w:val="right"/>
            </w:pPr>
            <w:r>
              <w:t xml:space="preserve">-1.780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</w:tr>
    </w:tbl>
    <w:p>
      <w:pPr>
        <w:pStyle w:val="Corpodetexto"/>
      </w:pPr>
      <w:r>
        <w:t xml:space="preserve">A distribuição de abundância é apresentada na figura a seguir.</w:t>
      </w:r>
    </w:p>
    <w:p>
      <w:pPr>
        <w:pStyle w:val="CaptionedFigure"/>
      </w:pPr>
      <w:r>
        <w:drawing>
          <wp:inline>
            <wp:extent cx="5600700" cy="2800350"/>
            <wp:effectExtent b="0" l="0" r="0" t="0"/>
            <wp:docPr descr="Figura 1: Distribuição da abundância por grupo de tetrápodes." title="" id="1" name="Picture"/>
            <a:graphic>
              <a:graphicData uri="http://schemas.openxmlformats.org/drawingml/2006/picture">
                <pic:pic>
                  <pic:nvPicPr>
                    <pic:cNvPr descr="C:/Users/rodri/OneDrive/Documentos/UFRGS/Disciplinas/lab_estatistica_1/git_hub_2/lab_est_1_mat02031/Assessoria%2003%20-%20Mauricio/roseta-abundanc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Distribuição da abundância por grupo de tetrápodes.</w:t>
      </w:r>
    </w:p>
    <w:p>
      <w:pPr>
        <w:pStyle w:val="Corpodetexto"/>
      </w:pPr>
      <w:r>
        <w:t xml:space="preserve">A suposição de distribuição de von Mises não foi rejeitada apenas para o grupo Mysticeti (valo</w:t>
      </w:r>
      <w:r>
        <w:t xml:space="preserve"> </w:t>
      </w:r>
      <m:oMath>
        <m:r>
          <m:t>p</m:t>
        </m:r>
        <m:r>
          <m:t>&gt;</m:t>
        </m:r>
        <m:r>
          <m:t>0.10</m:t>
        </m:r>
      </m:oMath>
      <w:r>
        <w:t xml:space="preserve">; para os demais grupos o valor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foi</w:t>
      </w:r>
      <w:r>
        <w:t xml:space="preserve"> </w:t>
      </w:r>
      <m:oMath>
        <m:r>
          <m:t>&lt;</m:t>
        </m:r>
        <m:r>
          <m:t>0.01</m:t>
        </m:r>
      </m:oMath>
      <w:r>
        <w:t xml:space="preserve">) de acordo com o teste de Watson. A hipótese de uniformidade da distribuição da abundância foi rejeitada para todos os grupos (valor</w:t>
      </w:r>
      <w:r>
        <w:t xml:space="preserve"> </w:t>
      </w:r>
      <m:oMath>
        <m:r>
          <m:t>p</m:t>
        </m:r>
        <m:r>
          <m:t>&lt;</m:t>
        </m:r>
        <m:r>
          <m:t>0.01</m:t>
        </m:r>
      </m:oMath>
      <w:r>
        <w:t xml:space="preserve">) segundo o teste de Rao (para o grupo Mysticeti também foi empregado o teste de Rayleigh, que também rejeitou a hipótese de uniformidade da distribuição; valor</w:t>
      </w:r>
      <w:r>
        <w:t xml:space="preserve"> </w:t>
      </w:r>
      <m:oMath>
        <m:r>
          <m:t>p</m:t>
        </m:r>
        <m:r>
          <m:t>&lt;</m:t>
        </m:r>
        <m:r>
          <m:t>0.01</m:t>
        </m:r>
      </m:oMath>
      <w:r>
        <w:t xml:space="preserve">).</w:t>
      </w:r>
    </w:p>
    <w:p>
      <w:pPr>
        <w:pStyle w:val="Ttulo1"/>
      </w:pPr>
      <w:bookmarkStart w:id="30" w:name="considerações"/>
      <w:r>
        <w:t xml:space="preserve">Considerações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Código revisado e adequado;</w:t>
      </w:r>
    </w:p>
    <w:p>
      <w:pPr>
        <w:pStyle w:val="Compact"/>
        <w:numPr>
          <w:numId w:val="1003"/>
          <w:ilvl w:val="0"/>
        </w:numPr>
      </w:pPr>
      <w:r>
        <w:t xml:space="preserve">Com respeito a hipótese de uniformidade, esta foi rejeitada para a distribuição de abundância em todos os grupos. Isto sugere a presença de agrupamentos no tempo.</w:t>
      </w:r>
    </w:p>
    <w:p>
      <w:pPr>
        <w:pStyle w:val="Compact"/>
        <w:numPr>
          <w:numId w:val="1003"/>
          <w:ilvl w:val="0"/>
        </w:numPr>
      </w:pPr>
      <w:r>
        <w:t xml:space="preserve">Erro padrão relativo: ainda em construção. Dúvida: erro padrão referente a qual estimativa?</w:t>
      </w:r>
    </w:p>
    <w:p>
      <w:r>
        <w:br w:type="page"/>
      </w:r>
    </w:p>
    <w:p>
      <w:pPr>
        <w:pStyle w:val="Ttulo1"/>
      </w:pPr>
      <w:bookmarkStart w:id="31" w:name="apêndice-código-em-r"/>
      <w:r>
        <w:t xml:space="preserve">Apêndice: código em R</w:t>
      </w:r>
      <w:bookmarkEnd w:id="31"/>
    </w:p>
    <w:p>
      <w:pPr>
        <w:pStyle w:val="FirstParagraph"/>
      </w:pPr>
      <w:r>
        <w:t xml:space="preserve">A seguir é apresentado o código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utilizado nas análises estatísticas.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#install.packages('formatR')</w:t>
      </w:r>
      <w:r>
        <w:br/>
      </w:r>
      <w:r>
        <w:rPr>
          <w:rStyle w:val="CommentTok"/>
        </w:rPr>
        <w:t xml:space="preserve">#library(formatR)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Carregando pacotes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(circular)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Criando funções </w:t>
      </w:r>
      <w:r>
        <w:br/>
      </w:r>
      <w:r>
        <w:br/>
      </w:r>
      <w:r>
        <w:rPr>
          <w:rStyle w:val="CommentTok"/>
        </w:rPr>
        <w:t xml:space="preserve"># roseta.nae</w:t>
      </w:r>
      <w:r>
        <w:br/>
      </w:r>
      <w:r>
        <w:br/>
      </w:r>
      <w:r>
        <w:rPr>
          <w:rStyle w:val="NormalTok"/>
        </w:rPr>
        <w:t xml:space="preserve">roseta.nae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main,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,...){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rose.diag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border,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ticks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bins,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axis.circular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circular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(month.abb[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shrink =</w:t>
      </w:r>
      <w:r>
        <w:rPr>
          <w:rStyle w:val="NormalTok"/>
        </w:rPr>
        <w:t xml:space="preserve"> shrink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Carregando arquivo de dados 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"Assessoria 03 - Mauricio"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 mortalidade.csv"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head(data)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Manipulação de dados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 </w:t>
      </w:r>
      <w:r>
        <w:rPr>
          <w:rStyle w:val="CommentTok"/>
        </w:rPr>
        <w:t xml:space="preserve"># transformando em fator</w:t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Criando data.frames Grupo-específicos</w:t>
      </w:r>
      <w:r>
        <w:br/>
      </w:r>
      <w:r>
        <w:br/>
      </w:r>
      <w:r>
        <w:rPr>
          <w:rStyle w:val="NormalTok"/>
        </w:rPr>
        <w:t xml:space="preserve">Mysticeti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"Mysticeti"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Odontoceti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"Odontoceti"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Pinipedia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"Pinipedia"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Procellariiformes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"Procellariiformes"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SeaTurtles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"Sea Turtles"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Sphenisciformes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"Sphenisciformes"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Criando objetos circulares</w:t>
      </w:r>
      <w:r>
        <w:br/>
      </w:r>
      <w:r>
        <w:br/>
      </w:r>
      <w:r>
        <w:rPr>
          <w:rStyle w:val="CommentTok"/>
        </w:rPr>
        <w:t xml:space="preserve"># Geral</w:t>
      </w:r>
      <w:r>
        <w:br/>
      </w:r>
      <w:r>
        <w:rPr>
          <w:rStyle w:val="NormalTok"/>
        </w:rPr>
        <w:t xml:space="preserve">geral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geral_rad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(geral)</w:t>
      </w:r>
      <w:r>
        <w:br/>
      </w:r>
      <w:r>
        <w:rPr>
          <w:rStyle w:val="NormalTok"/>
        </w:rPr>
        <w:t xml:space="preserve">geral_circ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(geral_rad)</w:t>
      </w:r>
      <w:r>
        <w:br/>
      </w:r>
      <w:r>
        <w:br/>
      </w:r>
      <w:r>
        <w:rPr>
          <w:rStyle w:val="CommentTok"/>
        </w:rPr>
        <w:t xml:space="preserve"># Mysticeti</w:t>
      </w:r>
      <w:r>
        <w:br/>
      </w:r>
      <w:r>
        <w:rPr>
          <w:rStyle w:val="NormalTok"/>
        </w:rPr>
        <w:t xml:space="preserve">mysti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Mysticeti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mysti_rad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(mysti)</w:t>
      </w:r>
      <w:r>
        <w:br/>
      </w:r>
      <w:r>
        <w:rPr>
          <w:rStyle w:val="NormalTok"/>
        </w:rPr>
        <w:t xml:space="preserve">mysti_circ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(mysti_rad)</w:t>
      </w:r>
      <w:r>
        <w:br/>
      </w:r>
      <w:r>
        <w:br/>
      </w:r>
      <w:r>
        <w:rPr>
          <w:rStyle w:val="CommentTok"/>
        </w:rPr>
        <w:t xml:space="preserve"># Odontoceti</w:t>
      </w:r>
      <w:r>
        <w:br/>
      </w:r>
      <w:r>
        <w:rPr>
          <w:rStyle w:val="NormalTok"/>
        </w:rPr>
        <w:t xml:space="preserve">odonto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Odontoceti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odonto_rad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(odonto)</w:t>
      </w:r>
      <w:r>
        <w:br/>
      </w:r>
      <w:r>
        <w:rPr>
          <w:rStyle w:val="NormalTok"/>
        </w:rPr>
        <w:t xml:space="preserve">odonto_circ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(odonto_rad)</w:t>
      </w:r>
      <w:r>
        <w:br/>
      </w:r>
      <w:r>
        <w:br/>
      </w:r>
      <w:r>
        <w:rPr>
          <w:rStyle w:val="CommentTok"/>
        </w:rPr>
        <w:t xml:space="preserve"># Pinipedia</w:t>
      </w:r>
      <w:r>
        <w:br/>
      </w:r>
      <w:r>
        <w:rPr>
          <w:rStyle w:val="NormalTok"/>
        </w:rPr>
        <w:t xml:space="preserve">pini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Pinipedia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pini_rad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(pini)</w:t>
      </w:r>
      <w:r>
        <w:br/>
      </w:r>
      <w:r>
        <w:rPr>
          <w:rStyle w:val="NormalTok"/>
        </w:rPr>
        <w:t xml:space="preserve">pini_circ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(pini_rad)</w:t>
      </w:r>
      <w:r>
        <w:br/>
      </w:r>
      <w:r>
        <w:br/>
      </w:r>
      <w:r>
        <w:rPr>
          <w:rStyle w:val="CommentTok"/>
        </w:rPr>
        <w:t xml:space="preserve"># Procellariiformes</w:t>
      </w:r>
      <w:r>
        <w:br/>
      </w:r>
      <w:r>
        <w:rPr>
          <w:rStyle w:val="NormalTok"/>
        </w:rPr>
        <w:t xml:space="preserve">proce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Procellariiformes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proce_rad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(proce)</w:t>
      </w:r>
      <w:r>
        <w:br/>
      </w:r>
      <w:r>
        <w:rPr>
          <w:rStyle w:val="NormalTok"/>
        </w:rPr>
        <w:t xml:space="preserve">proce_circ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(proce_rad)</w:t>
      </w:r>
      <w:r>
        <w:br/>
      </w:r>
      <w:r>
        <w:br/>
      </w:r>
      <w:r>
        <w:rPr>
          <w:rStyle w:val="CommentTok"/>
        </w:rPr>
        <w:t xml:space="preserve"># SeaTurtles</w:t>
      </w:r>
      <w:r>
        <w:br/>
      </w:r>
      <w:r>
        <w:rPr>
          <w:rStyle w:val="NormalTok"/>
        </w:rPr>
        <w:t xml:space="preserve">turtles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SeaTurtles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turtles_rad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(turtles)</w:t>
      </w:r>
      <w:r>
        <w:br/>
      </w:r>
      <w:r>
        <w:rPr>
          <w:rStyle w:val="NormalTok"/>
        </w:rPr>
        <w:t xml:space="preserve">turtles_circ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(turtles_rad)</w:t>
      </w:r>
      <w:r>
        <w:br/>
      </w:r>
      <w:r>
        <w:br/>
      </w:r>
      <w:r>
        <w:rPr>
          <w:rStyle w:val="CommentTok"/>
        </w:rPr>
        <w:t xml:space="preserve"># Sphenisciformes</w:t>
      </w:r>
      <w:r>
        <w:br/>
      </w:r>
      <w:r>
        <w:rPr>
          <w:rStyle w:val="NormalTok"/>
        </w:rPr>
        <w:t xml:space="preserve">spheni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angle, Sphenisciformes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rPr>
          <w:rStyle w:val="NormalTok"/>
        </w:rPr>
        <w:t xml:space="preserve">spheni_rad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(spheni)</w:t>
      </w:r>
      <w:r>
        <w:br/>
      </w:r>
      <w:r>
        <w:rPr>
          <w:rStyle w:val="NormalTok"/>
        </w:rPr>
        <w:t xml:space="preserve">spheni_circ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as.circular</w:t>
      </w:r>
      <w:r>
        <w:rPr>
          <w:rStyle w:val="NormalTok"/>
        </w:rPr>
        <w:t xml:space="preserve">(spheni_rad)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Estatísticas descritivas</w:t>
      </w:r>
      <w:r>
        <w:br/>
      </w:r>
      <w:r>
        <w:br/>
      </w:r>
      <w:r>
        <w:rPr>
          <w:rStyle w:val="NormalTok"/>
        </w:rPr>
        <w:t xml:space="preserve">df.summary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(mysti_circ),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(odonto_circ))</w:t>
      </w:r>
      <w:r>
        <w:br/>
      </w:r>
      <w:r>
        <w:rPr>
          <w:rStyle w:val="NormalTok"/>
        </w:rPr>
        <w:t xml:space="preserve">df.summary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(df.summary,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(pini_circ))</w:t>
      </w:r>
      <w:r>
        <w:br/>
      </w:r>
      <w:r>
        <w:rPr>
          <w:rStyle w:val="NormalTok"/>
        </w:rPr>
        <w:t xml:space="preserve">df.summary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(df.summary,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(proce_circ))</w:t>
      </w:r>
      <w:r>
        <w:br/>
      </w:r>
      <w:r>
        <w:rPr>
          <w:rStyle w:val="NormalTok"/>
        </w:rPr>
        <w:t xml:space="preserve">df.summary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(df.summary,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(turtles_circ))</w:t>
      </w:r>
      <w:r>
        <w:br/>
      </w:r>
      <w:r>
        <w:rPr>
          <w:rStyle w:val="NormalTok"/>
        </w:rPr>
        <w:t xml:space="preserve">df.summary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(df.summary,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(spheni_circ))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(df.summary)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df.summary,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"Estatísticas circulares descritivas"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Gráficos: diagrama de roseta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"Assessoria 03 - Mauricio"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"roseta-abundancia.png"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mysti_circ,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"Mysticeti"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odonto_circ,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"Odontoceti"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pini_circ,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"Pinipedia"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proce_circ,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"Procellariiformes"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turtles_circ,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 Turtles"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roseta.nae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spheni_circ,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"Sphenisciformes"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'Assessoria 03 - Mauricio'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'roseta-abundancia.png'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Avaliando unimodalidade (von Mises)</w:t>
      </w:r>
      <w:r>
        <w:br/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(mysti_circ,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(odonto_circ,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(pini_circ,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(proce_circ,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(turtles_circ,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watson.test</w:t>
      </w:r>
      <w:r>
        <w:rPr>
          <w:rStyle w:val="NormalTok"/>
        </w:rPr>
        <w:t xml:space="preserve">(spheni_circ,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"vonmises"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---------------------------------------------------</w:t>
      </w:r>
      <w:r>
        <w:br/>
      </w:r>
      <w:r>
        <w:rPr>
          <w:rStyle w:val="CommentTok"/>
        </w:rPr>
        <w:t xml:space="preserve"># Avaliando uniformidade da distribuição</w:t>
      </w:r>
      <w:r>
        <w:br/>
      </w:r>
      <w:r>
        <w:rPr>
          <w:rStyle w:val="CommentTok"/>
        </w:rPr>
        <w:t xml:space="preserve"># (ausência de agrupamentos no tempo)</w:t>
      </w:r>
      <w:r>
        <w:br/>
      </w:r>
      <w:r>
        <w:br/>
      </w:r>
      <w:r>
        <w:rPr>
          <w:rStyle w:val="CommentTok"/>
        </w:rPr>
        <w:t xml:space="preserve"># Teste de Rao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(mysti_circ) </w:t>
      </w:r>
      <w:r>
        <w:rPr>
          <w:rStyle w:val="CommentTok"/>
        </w:rPr>
        <w:t xml:space="preserve">#,alpha = 0.5)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(odonto_circ)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(pini_circ)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(proce_circ)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(spheni_circ)</w:t>
      </w:r>
      <w:r>
        <w:br/>
      </w:r>
      <w:r>
        <w:rPr>
          <w:rStyle w:val="KeywordTok"/>
        </w:rPr>
        <w:t xml:space="preserve">rao.spacing.test</w:t>
      </w:r>
      <w:r>
        <w:rPr>
          <w:rStyle w:val="NormalTok"/>
        </w:rPr>
        <w:t xml:space="preserve">(turtles_circ)</w:t>
      </w:r>
      <w:r>
        <w:br/>
      </w:r>
      <w:r>
        <w:br/>
      </w:r>
      <w:r>
        <w:rPr>
          <w:rStyle w:val="CommentTok"/>
        </w:rPr>
        <w:t xml:space="preserve"># Teste de Rayleigh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(mysti_circ)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(odonto_circ)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(pini_circ)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(proce_circ)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(spheni_circ)</w:t>
      </w:r>
      <w:r>
        <w:br/>
      </w:r>
      <w:r>
        <w:rPr>
          <w:rStyle w:val="KeywordTok"/>
        </w:rPr>
        <w:t xml:space="preserve">rayleigh.test</w:t>
      </w:r>
      <w:r>
        <w:rPr>
          <w:rStyle w:val="NormalTok"/>
        </w:rPr>
        <w:t xml:space="preserve">(turtles_circ)</w:t>
      </w:r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</dc:title>
  <dc:creator/>
  <cp:keywords/>
  <dcterms:created xsi:type="dcterms:W3CDTF">2020-10-15T15:25:30Z</dcterms:created>
  <dcterms:modified xsi:type="dcterms:W3CDTF">2020-10-15T15:25:30Z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15 de outubro de 2020</vt:lpwstr>
  </property>
  <property fmtid="{D5CDD505-2E9C-101B-9397-08002B2CF9AE}" pid="3" name="output">
    <vt:lpwstr/>
  </property>
</Properties>
</file>