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C8B" w:rsidRPr="00EB31A5" w:rsidRDefault="005F5369" w:rsidP="0019680E">
      <w:pPr>
        <w:jc w:val="center"/>
        <w:rPr>
          <w:rFonts w:eastAsia="Arial" w:cs="Arial"/>
          <w:szCs w:val="24"/>
        </w:rPr>
      </w:pPr>
      <w:r w:rsidRPr="00EB31A5">
        <w:rPr>
          <w:rFonts w:eastAsia="Arial" w:cs="Arial"/>
          <w:szCs w:val="24"/>
        </w:rPr>
        <w:t>UNIVER</w:t>
      </w:r>
      <w:r w:rsidR="00FF0C8B" w:rsidRPr="00EB31A5">
        <w:rPr>
          <w:rFonts w:eastAsia="Arial" w:cs="Arial"/>
          <w:szCs w:val="24"/>
        </w:rPr>
        <w:t xml:space="preserve">SIDADE FEDERAL DO RIO GRANDE DO </w:t>
      </w:r>
      <w:r w:rsidRPr="00EB31A5">
        <w:rPr>
          <w:rFonts w:eastAsia="Arial" w:cs="Arial"/>
          <w:szCs w:val="24"/>
        </w:rPr>
        <w:t>SUL</w:t>
      </w:r>
    </w:p>
    <w:p w:rsidR="00FF0C8B" w:rsidRPr="00EB31A5" w:rsidRDefault="005F5369" w:rsidP="0019680E">
      <w:pPr>
        <w:jc w:val="center"/>
        <w:rPr>
          <w:rFonts w:eastAsia="Arial" w:cs="Arial"/>
          <w:szCs w:val="24"/>
        </w:rPr>
      </w:pPr>
      <w:r w:rsidRPr="00EB31A5">
        <w:rPr>
          <w:rFonts w:eastAsia="Arial" w:cs="Arial"/>
          <w:szCs w:val="24"/>
        </w:rPr>
        <w:t>FACULDADE DE VETE</w:t>
      </w:r>
      <w:r w:rsidR="00FF0C8B" w:rsidRPr="00EB31A5">
        <w:rPr>
          <w:rFonts w:eastAsia="Arial" w:cs="Arial"/>
          <w:szCs w:val="24"/>
        </w:rPr>
        <w:t>R</w:t>
      </w:r>
      <w:r w:rsidRPr="00EB31A5">
        <w:rPr>
          <w:rFonts w:eastAsia="Arial" w:cs="Arial"/>
          <w:szCs w:val="24"/>
        </w:rPr>
        <w:t>INÁRIA</w:t>
      </w:r>
    </w:p>
    <w:p w:rsidR="005F5369" w:rsidRPr="00EB31A5" w:rsidRDefault="005F5369" w:rsidP="0019680E">
      <w:pPr>
        <w:jc w:val="center"/>
        <w:rPr>
          <w:rFonts w:eastAsia="Arial" w:cs="Arial"/>
          <w:szCs w:val="24"/>
        </w:rPr>
      </w:pPr>
      <w:r w:rsidRPr="00EB31A5">
        <w:rPr>
          <w:rFonts w:eastAsia="Arial" w:cs="Arial"/>
          <w:szCs w:val="24"/>
        </w:rPr>
        <w:t>PROGRAMA DE PÓS-GRADUAÇÃO EM CIÊN</w:t>
      </w:r>
      <w:r w:rsidR="00464F34">
        <w:rPr>
          <w:rFonts w:eastAsia="Arial" w:cs="Arial"/>
          <w:szCs w:val="24"/>
        </w:rPr>
        <w:t>C</w:t>
      </w:r>
      <w:r w:rsidRPr="00EB31A5">
        <w:rPr>
          <w:rFonts w:eastAsia="Arial" w:cs="Arial"/>
          <w:szCs w:val="24"/>
        </w:rPr>
        <w:t>IAS VETERINÁRIA</w:t>
      </w:r>
    </w:p>
    <w:p w:rsidR="005F5369" w:rsidRPr="00EB31A5" w:rsidRDefault="005F5369" w:rsidP="0019680E">
      <w:pPr>
        <w:jc w:val="center"/>
        <w:rPr>
          <w:rFonts w:cs="Arial"/>
          <w:szCs w:val="24"/>
        </w:rPr>
      </w:pPr>
    </w:p>
    <w:p w:rsidR="008C3903" w:rsidRPr="00EB31A5" w:rsidRDefault="008C3903" w:rsidP="0019680E">
      <w:pPr>
        <w:jc w:val="center"/>
        <w:rPr>
          <w:rFonts w:cs="Arial"/>
          <w:szCs w:val="24"/>
        </w:rPr>
      </w:pPr>
    </w:p>
    <w:p w:rsidR="008C3903" w:rsidRPr="00EB31A5" w:rsidRDefault="008C3903" w:rsidP="0019680E">
      <w:pPr>
        <w:jc w:val="center"/>
        <w:rPr>
          <w:rFonts w:cs="Arial"/>
          <w:szCs w:val="24"/>
        </w:rPr>
      </w:pPr>
    </w:p>
    <w:p w:rsidR="005F5369" w:rsidRPr="00EB31A5" w:rsidRDefault="005F5369" w:rsidP="0019680E">
      <w:pPr>
        <w:jc w:val="center"/>
        <w:rPr>
          <w:rFonts w:cs="Arial"/>
          <w:szCs w:val="24"/>
        </w:rPr>
      </w:pPr>
    </w:p>
    <w:p w:rsidR="00907BDB" w:rsidRPr="00EB31A5" w:rsidRDefault="005F5369" w:rsidP="0019680E">
      <w:pPr>
        <w:jc w:val="center"/>
        <w:rPr>
          <w:rFonts w:eastAsia="Arial" w:cs="Arial"/>
          <w:szCs w:val="24"/>
        </w:rPr>
      </w:pPr>
      <w:r w:rsidRPr="00EB31A5">
        <w:rPr>
          <w:rFonts w:eastAsia="Arial" w:cs="Arial"/>
          <w:szCs w:val="24"/>
        </w:rPr>
        <w:t xml:space="preserve">AVALIAÇÃO DA </w:t>
      </w:r>
      <w:r w:rsidR="004C2709" w:rsidRPr="00EB31A5">
        <w:rPr>
          <w:rFonts w:eastAsia="Arial" w:cs="Arial"/>
          <w:szCs w:val="24"/>
        </w:rPr>
        <w:t>TOX</w:t>
      </w:r>
      <w:r w:rsidRPr="00EB31A5">
        <w:rPr>
          <w:rFonts w:eastAsia="Arial" w:cs="Arial"/>
          <w:szCs w:val="24"/>
        </w:rPr>
        <w:t>ICIDADE CRÔNICA E REPRODUTIVA</w:t>
      </w:r>
    </w:p>
    <w:p w:rsidR="005F5369" w:rsidRPr="00EB31A5" w:rsidRDefault="00907BDB" w:rsidP="0019680E">
      <w:pPr>
        <w:jc w:val="center"/>
        <w:rPr>
          <w:rFonts w:eastAsia="Arial" w:cs="Arial"/>
          <w:szCs w:val="24"/>
        </w:rPr>
      </w:pPr>
      <w:r w:rsidRPr="00EB31A5">
        <w:rPr>
          <w:rFonts w:eastAsia="Arial" w:cs="Arial"/>
          <w:szCs w:val="24"/>
        </w:rPr>
        <w:t>(Segmento I)</w:t>
      </w:r>
      <w:r w:rsidR="005F5369" w:rsidRPr="00EB31A5">
        <w:rPr>
          <w:rFonts w:eastAsia="Arial" w:cs="Arial"/>
          <w:szCs w:val="24"/>
        </w:rPr>
        <w:t xml:space="preserve"> do óleo essencial de </w:t>
      </w:r>
      <w:r w:rsidR="005F5369" w:rsidRPr="00EB31A5">
        <w:rPr>
          <w:rFonts w:eastAsia="Arial" w:cs="Arial"/>
          <w:i/>
          <w:szCs w:val="24"/>
        </w:rPr>
        <w:t>Olea europaea</w:t>
      </w:r>
      <w:r w:rsidR="005F5369" w:rsidRPr="00EB31A5">
        <w:rPr>
          <w:rFonts w:eastAsia="Arial" w:cs="Arial"/>
          <w:szCs w:val="24"/>
        </w:rPr>
        <w:t xml:space="preserve"> em Ratos </w:t>
      </w:r>
      <w:proofErr w:type="spellStart"/>
      <w:r w:rsidR="005F5369" w:rsidRPr="00EB31A5">
        <w:rPr>
          <w:rFonts w:eastAsia="Arial" w:cs="Arial"/>
          <w:szCs w:val="24"/>
        </w:rPr>
        <w:t>Wistar</w:t>
      </w:r>
      <w:proofErr w:type="spellEnd"/>
    </w:p>
    <w:p w:rsidR="005F5369" w:rsidRPr="00EB31A5" w:rsidRDefault="005F5369" w:rsidP="0019680E">
      <w:pPr>
        <w:jc w:val="center"/>
        <w:rPr>
          <w:rFonts w:cs="Arial"/>
          <w:szCs w:val="24"/>
        </w:rPr>
      </w:pPr>
    </w:p>
    <w:p w:rsidR="005F5369" w:rsidRPr="00EB31A5" w:rsidRDefault="005F5369" w:rsidP="0019680E">
      <w:pPr>
        <w:jc w:val="center"/>
        <w:rPr>
          <w:rFonts w:cs="Arial"/>
          <w:szCs w:val="24"/>
        </w:rPr>
      </w:pPr>
    </w:p>
    <w:p w:rsidR="008C3903" w:rsidRPr="00EB31A5" w:rsidRDefault="008C3903" w:rsidP="0019680E">
      <w:pPr>
        <w:jc w:val="center"/>
        <w:rPr>
          <w:rFonts w:cs="Arial"/>
          <w:szCs w:val="24"/>
        </w:rPr>
      </w:pPr>
    </w:p>
    <w:p w:rsidR="005F5369" w:rsidRPr="00EB31A5" w:rsidRDefault="005F5369" w:rsidP="0019680E">
      <w:pPr>
        <w:jc w:val="center"/>
        <w:rPr>
          <w:rFonts w:cs="Arial"/>
          <w:szCs w:val="24"/>
        </w:rPr>
      </w:pPr>
    </w:p>
    <w:p w:rsidR="005F5369" w:rsidRPr="00EB31A5" w:rsidRDefault="002A0225" w:rsidP="0019680E">
      <w:pPr>
        <w:jc w:val="center"/>
        <w:rPr>
          <w:rFonts w:eastAsia="Arial" w:cs="Arial"/>
          <w:szCs w:val="24"/>
        </w:rPr>
      </w:pPr>
      <w:r w:rsidRPr="00EB31A5">
        <w:rPr>
          <w:rFonts w:eastAsia="Arial" w:cs="Arial"/>
          <w:szCs w:val="24"/>
        </w:rPr>
        <w:t>RAQUEL LUÍSA BREUNIG</w:t>
      </w:r>
    </w:p>
    <w:p w:rsidR="005F5369" w:rsidRPr="00EB31A5" w:rsidRDefault="005F5369" w:rsidP="0019680E">
      <w:pPr>
        <w:jc w:val="center"/>
        <w:rPr>
          <w:rFonts w:cs="Arial"/>
          <w:szCs w:val="24"/>
        </w:rPr>
      </w:pPr>
    </w:p>
    <w:p w:rsidR="008C3903" w:rsidRPr="00EB31A5" w:rsidRDefault="008C3903" w:rsidP="0019680E">
      <w:pPr>
        <w:jc w:val="center"/>
        <w:rPr>
          <w:rFonts w:cs="Arial"/>
          <w:szCs w:val="24"/>
        </w:rPr>
      </w:pPr>
    </w:p>
    <w:p w:rsidR="008C3903" w:rsidRPr="00EB31A5" w:rsidRDefault="008C3903" w:rsidP="0019680E">
      <w:pPr>
        <w:jc w:val="center"/>
        <w:rPr>
          <w:rFonts w:cs="Arial"/>
          <w:szCs w:val="24"/>
        </w:rPr>
      </w:pPr>
    </w:p>
    <w:p w:rsidR="005F5369" w:rsidRPr="00EB31A5" w:rsidRDefault="005F5369" w:rsidP="0019680E">
      <w:pPr>
        <w:jc w:val="center"/>
        <w:rPr>
          <w:rFonts w:eastAsia="Arial" w:cs="Arial"/>
          <w:szCs w:val="24"/>
        </w:rPr>
      </w:pPr>
      <w:r w:rsidRPr="00EB31A5">
        <w:rPr>
          <w:rFonts w:eastAsia="Arial" w:cs="Arial"/>
          <w:szCs w:val="24"/>
        </w:rPr>
        <w:t>Orientador: Prof. Dr. João Roberto Braga de Mello</w:t>
      </w:r>
    </w:p>
    <w:p w:rsidR="005F5369" w:rsidRPr="00EB31A5" w:rsidRDefault="005F5369" w:rsidP="0019680E">
      <w:pPr>
        <w:jc w:val="center"/>
        <w:rPr>
          <w:rFonts w:cs="Arial"/>
          <w:szCs w:val="24"/>
        </w:rPr>
      </w:pPr>
    </w:p>
    <w:p w:rsidR="005F5369" w:rsidRPr="00EB31A5" w:rsidRDefault="005F5369" w:rsidP="0019680E">
      <w:pPr>
        <w:jc w:val="center"/>
        <w:rPr>
          <w:rFonts w:cs="Arial"/>
          <w:szCs w:val="24"/>
        </w:rPr>
      </w:pPr>
    </w:p>
    <w:p w:rsidR="005F5369" w:rsidRDefault="005F5369" w:rsidP="0019680E">
      <w:pPr>
        <w:jc w:val="center"/>
        <w:rPr>
          <w:rFonts w:cs="Arial"/>
          <w:szCs w:val="24"/>
        </w:rPr>
      </w:pPr>
    </w:p>
    <w:p w:rsidR="0019680E" w:rsidRDefault="0019680E" w:rsidP="0019680E">
      <w:pPr>
        <w:jc w:val="center"/>
        <w:rPr>
          <w:rFonts w:cs="Arial"/>
          <w:szCs w:val="24"/>
        </w:rPr>
      </w:pPr>
    </w:p>
    <w:p w:rsidR="0019680E" w:rsidRPr="00EB31A5" w:rsidRDefault="0019680E" w:rsidP="0019680E">
      <w:pPr>
        <w:jc w:val="center"/>
        <w:rPr>
          <w:rFonts w:cs="Arial"/>
          <w:szCs w:val="24"/>
        </w:rPr>
      </w:pPr>
    </w:p>
    <w:p w:rsidR="005F5369" w:rsidRPr="00EB31A5" w:rsidRDefault="005F5369" w:rsidP="0019680E">
      <w:pPr>
        <w:jc w:val="center"/>
        <w:rPr>
          <w:rFonts w:eastAsia="Arial" w:cs="Arial"/>
          <w:szCs w:val="24"/>
        </w:rPr>
      </w:pPr>
      <w:r w:rsidRPr="00EB31A5">
        <w:rPr>
          <w:rFonts w:eastAsia="Arial" w:cs="Arial"/>
          <w:szCs w:val="24"/>
        </w:rPr>
        <w:t>PORTO ALEGRE</w:t>
      </w:r>
    </w:p>
    <w:p w:rsidR="005F5369" w:rsidRPr="00EB31A5" w:rsidRDefault="002A0225" w:rsidP="0019680E">
      <w:pPr>
        <w:jc w:val="center"/>
        <w:rPr>
          <w:rFonts w:eastAsia="Arial" w:cs="Arial"/>
          <w:szCs w:val="24"/>
        </w:rPr>
        <w:sectPr w:rsidR="005F5369" w:rsidRPr="00EB31A5" w:rsidSect="0019680E">
          <w:pgSz w:w="11920" w:h="16840"/>
          <w:pgMar w:top="1701" w:right="1134" w:bottom="1134" w:left="1701" w:header="720" w:footer="720" w:gutter="0"/>
          <w:cols w:space="720"/>
        </w:sectPr>
      </w:pPr>
      <w:r w:rsidRPr="00EB31A5">
        <w:rPr>
          <w:rFonts w:eastAsia="Arial" w:cs="Arial"/>
          <w:szCs w:val="24"/>
        </w:rPr>
        <w:t>2019</w:t>
      </w:r>
    </w:p>
    <w:p w:rsidR="00236BDB" w:rsidRPr="00686324" w:rsidRDefault="0046165F" w:rsidP="00686324">
      <w:pPr>
        <w:jc w:val="center"/>
        <w:rPr>
          <w:rFonts w:eastAsia="Arial"/>
          <w:b/>
        </w:rPr>
      </w:pPr>
      <w:bookmarkStart w:id="0" w:name="_Toc6839978"/>
      <w:r w:rsidRPr="00686324">
        <w:rPr>
          <w:rFonts w:eastAsia="Arial"/>
          <w:b/>
        </w:rPr>
        <w:lastRenderedPageBreak/>
        <w:t>SUMÁRIO</w:t>
      </w:r>
      <w:bookmarkEnd w:id="0"/>
    </w:p>
    <w:sdt>
      <w:sdtPr>
        <w:rPr>
          <w:rFonts w:ascii="Arial" w:eastAsia="Times New Roman" w:hAnsi="Arial" w:cs="Times New Roman"/>
          <w:color w:val="auto"/>
          <w:sz w:val="24"/>
          <w:szCs w:val="20"/>
          <w:lang w:eastAsia="en-US"/>
        </w:rPr>
        <w:id w:val="622661194"/>
        <w:docPartObj>
          <w:docPartGallery w:val="Table of Contents"/>
          <w:docPartUnique/>
        </w:docPartObj>
      </w:sdtPr>
      <w:sdtEndPr>
        <w:rPr>
          <w:b/>
          <w:bCs/>
        </w:rPr>
      </w:sdtEndPr>
      <w:sdtContent>
        <w:p w:rsidR="00464F34" w:rsidRDefault="00464F34">
          <w:pPr>
            <w:pStyle w:val="CabealhodoSumrio"/>
          </w:pPr>
        </w:p>
        <w:p w:rsidR="00304E42" w:rsidRDefault="00464F34" w:rsidP="00304E42">
          <w:pPr>
            <w:pStyle w:val="Sumrio1"/>
            <w:rPr>
              <w:rFonts w:asciiTheme="minorHAnsi" w:eastAsiaTheme="minorEastAsia" w:hAnsiTheme="minorHAnsi" w:cstheme="minorBidi"/>
              <w:noProof/>
              <w:sz w:val="22"/>
              <w:szCs w:val="22"/>
              <w:lang w:eastAsia="pt-BR"/>
            </w:rPr>
          </w:pPr>
          <w:r>
            <w:fldChar w:fldCharType="begin"/>
          </w:r>
          <w:r>
            <w:instrText xml:space="preserve"> TOC \o "1-3" \h \z \u </w:instrText>
          </w:r>
          <w:r>
            <w:fldChar w:fldCharType="separate"/>
          </w:r>
          <w:hyperlink w:anchor="_Toc6842201" w:history="1">
            <w:r w:rsidR="00304E42" w:rsidRPr="00790A04">
              <w:rPr>
                <w:rStyle w:val="Hyperlink"/>
                <w:noProof/>
              </w:rPr>
              <w:t>1 DADOS DO PROJETO DE PESQUISA</w:t>
            </w:r>
            <w:r w:rsidR="00304E42">
              <w:rPr>
                <w:noProof/>
                <w:webHidden/>
              </w:rPr>
              <w:tab/>
            </w:r>
            <w:r w:rsidR="00304E42">
              <w:rPr>
                <w:noProof/>
                <w:webHidden/>
              </w:rPr>
              <w:fldChar w:fldCharType="begin"/>
            </w:r>
            <w:r w:rsidR="00304E42">
              <w:rPr>
                <w:noProof/>
                <w:webHidden/>
              </w:rPr>
              <w:instrText xml:space="preserve"> PAGEREF _Toc6842201 \h </w:instrText>
            </w:r>
            <w:r w:rsidR="00304E42">
              <w:rPr>
                <w:noProof/>
                <w:webHidden/>
              </w:rPr>
            </w:r>
            <w:r w:rsidR="00304E42">
              <w:rPr>
                <w:noProof/>
                <w:webHidden/>
              </w:rPr>
              <w:fldChar w:fldCharType="separate"/>
            </w:r>
            <w:r w:rsidR="00304E42">
              <w:rPr>
                <w:noProof/>
                <w:webHidden/>
              </w:rPr>
              <w:t>4</w:t>
            </w:r>
            <w:r w:rsidR="00304E42">
              <w:rPr>
                <w:noProof/>
                <w:webHidden/>
              </w:rPr>
              <w:fldChar w:fldCharType="end"/>
            </w:r>
          </w:hyperlink>
        </w:p>
        <w:p w:rsidR="00304E42" w:rsidRDefault="003C448D">
          <w:pPr>
            <w:pStyle w:val="Sumrio2"/>
            <w:tabs>
              <w:tab w:val="right" w:leader="dot" w:pos="9061"/>
            </w:tabs>
            <w:rPr>
              <w:rFonts w:asciiTheme="minorHAnsi" w:eastAsiaTheme="minorEastAsia" w:hAnsiTheme="minorHAnsi" w:cstheme="minorBidi"/>
              <w:noProof/>
              <w:sz w:val="22"/>
              <w:szCs w:val="22"/>
              <w:lang w:eastAsia="pt-BR"/>
            </w:rPr>
          </w:pPr>
          <w:hyperlink w:anchor="_Toc6842202" w:history="1">
            <w:r w:rsidR="00304E42" w:rsidRPr="00790A04">
              <w:rPr>
                <w:rStyle w:val="Hyperlink"/>
                <w:noProof/>
              </w:rPr>
              <w:t>1.1 Instituição</w:t>
            </w:r>
            <w:r w:rsidR="00304E42">
              <w:rPr>
                <w:noProof/>
                <w:webHidden/>
              </w:rPr>
              <w:tab/>
            </w:r>
            <w:r w:rsidR="00304E42">
              <w:rPr>
                <w:noProof/>
                <w:webHidden/>
              </w:rPr>
              <w:fldChar w:fldCharType="begin"/>
            </w:r>
            <w:r w:rsidR="00304E42">
              <w:rPr>
                <w:noProof/>
                <w:webHidden/>
              </w:rPr>
              <w:instrText xml:space="preserve"> PAGEREF _Toc6842202 \h </w:instrText>
            </w:r>
            <w:r w:rsidR="00304E42">
              <w:rPr>
                <w:noProof/>
                <w:webHidden/>
              </w:rPr>
            </w:r>
            <w:r w:rsidR="00304E42">
              <w:rPr>
                <w:noProof/>
                <w:webHidden/>
              </w:rPr>
              <w:fldChar w:fldCharType="separate"/>
            </w:r>
            <w:r w:rsidR="00304E42">
              <w:rPr>
                <w:noProof/>
                <w:webHidden/>
              </w:rPr>
              <w:t>4</w:t>
            </w:r>
            <w:r w:rsidR="00304E42">
              <w:rPr>
                <w:noProof/>
                <w:webHidden/>
              </w:rPr>
              <w:fldChar w:fldCharType="end"/>
            </w:r>
          </w:hyperlink>
        </w:p>
        <w:p w:rsidR="00304E42" w:rsidRDefault="003C448D">
          <w:pPr>
            <w:pStyle w:val="Sumrio2"/>
            <w:tabs>
              <w:tab w:val="right" w:leader="dot" w:pos="9061"/>
            </w:tabs>
            <w:rPr>
              <w:rFonts w:asciiTheme="minorHAnsi" w:eastAsiaTheme="minorEastAsia" w:hAnsiTheme="minorHAnsi" w:cstheme="minorBidi"/>
              <w:noProof/>
              <w:sz w:val="22"/>
              <w:szCs w:val="22"/>
              <w:lang w:eastAsia="pt-BR"/>
            </w:rPr>
          </w:pPr>
          <w:hyperlink w:anchor="_Toc6842203" w:history="1">
            <w:r w:rsidR="00304E42" w:rsidRPr="00790A04">
              <w:rPr>
                <w:rStyle w:val="Hyperlink"/>
                <w:noProof/>
              </w:rPr>
              <w:t>1.2 Pesquisador Responsável</w:t>
            </w:r>
            <w:r w:rsidR="00304E42">
              <w:rPr>
                <w:noProof/>
                <w:webHidden/>
              </w:rPr>
              <w:tab/>
            </w:r>
            <w:r w:rsidR="00304E42">
              <w:rPr>
                <w:noProof/>
                <w:webHidden/>
              </w:rPr>
              <w:fldChar w:fldCharType="begin"/>
            </w:r>
            <w:r w:rsidR="00304E42">
              <w:rPr>
                <w:noProof/>
                <w:webHidden/>
              </w:rPr>
              <w:instrText xml:space="preserve"> PAGEREF _Toc6842203 \h </w:instrText>
            </w:r>
            <w:r w:rsidR="00304E42">
              <w:rPr>
                <w:noProof/>
                <w:webHidden/>
              </w:rPr>
            </w:r>
            <w:r w:rsidR="00304E42">
              <w:rPr>
                <w:noProof/>
                <w:webHidden/>
              </w:rPr>
              <w:fldChar w:fldCharType="separate"/>
            </w:r>
            <w:r w:rsidR="00304E42">
              <w:rPr>
                <w:noProof/>
                <w:webHidden/>
              </w:rPr>
              <w:t>4</w:t>
            </w:r>
            <w:r w:rsidR="00304E42">
              <w:rPr>
                <w:noProof/>
                <w:webHidden/>
              </w:rPr>
              <w:fldChar w:fldCharType="end"/>
            </w:r>
          </w:hyperlink>
        </w:p>
        <w:p w:rsidR="00304E42" w:rsidRDefault="003C448D">
          <w:pPr>
            <w:pStyle w:val="Sumrio2"/>
            <w:tabs>
              <w:tab w:val="right" w:leader="dot" w:pos="9061"/>
            </w:tabs>
            <w:rPr>
              <w:rFonts w:asciiTheme="minorHAnsi" w:eastAsiaTheme="minorEastAsia" w:hAnsiTheme="minorHAnsi" w:cstheme="minorBidi"/>
              <w:noProof/>
              <w:sz w:val="22"/>
              <w:szCs w:val="22"/>
              <w:lang w:eastAsia="pt-BR"/>
            </w:rPr>
          </w:pPr>
          <w:hyperlink w:anchor="_Toc6842204" w:history="1">
            <w:r w:rsidR="00304E42" w:rsidRPr="00790A04">
              <w:rPr>
                <w:rStyle w:val="Hyperlink"/>
                <w:noProof/>
              </w:rPr>
              <w:t>1.3 Colaboradores</w:t>
            </w:r>
            <w:r w:rsidR="00304E42">
              <w:rPr>
                <w:noProof/>
                <w:webHidden/>
              </w:rPr>
              <w:tab/>
            </w:r>
            <w:r w:rsidR="00304E42">
              <w:rPr>
                <w:noProof/>
                <w:webHidden/>
              </w:rPr>
              <w:fldChar w:fldCharType="begin"/>
            </w:r>
            <w:r w:rsidR="00304E42">
              <w:rPr>
                <w:noProof/>
                <w:webHidden/>
              </w:rPr>
              <w:instrText xml:space="preserve"> PAGEREF _Toc6842204 \h </w:instrText>
            </w:r>
            <w:r w:rsidR="00304E42">
              <w:rPr>
                <w:noProof/>
                <w:webHidden/>
              </w:rPr>
            </w:r>
            <w:r w:rsidR="00304E42">
              <w:rPr>
                <w:noProof/>
                <w:webHidden/>
              </w:rPr>
              <w:fldChar w:fldCharType="separate"/>
            </w:r>
            <w:r w:rsidR="00304E42">
              <w:rPr>
                <w:noProof/>
                <w:webHidden/>
              </w:rPr>
              <w:t>4</w:t>
            </w:r>
            <w:r w:rsidR="00304E42">
              <w:rPr>
                <w:noProof/>
                <w:webHidden/>
              </w:rPr>
              <w:fldChar w:fldCharType="end"/>
            </w:r>
          </w:hyperlink>
        </w:p>
        <w:p w:rsidR="00304E42" w:rsidRDefault="003C448D">
          <w:pPr>
            <w:pStyle w:val="Sumrio2"/>
            <w:tabs>
              <w:tab w:val="right" w:leader="dot" w:pos="9061"/>
            </w:tabs>
            <w:rPr>
              <w:rFonts w:asciiTheme="minorHAnsi" w:eastAsiaTheme="minorEastAsia" w:hAnsiTheme="minorHAnsi" w:cstheme="minorBidi"/>
              <w:noProof/>
              <w:sz w:val="22"/>
              <w:szCs w:val="22"/>
              <w:lang w:eastAsia="pt-BR"/>
            </w:rPr>
          </w:pPr>
          <w:hyperlink w:anchor="_Toc6842205" w:history="1">
            <w:r w:rsidR="00304E42" w:rsidRPr="00790A04">
              <w:rPr>
                <w:rStyle w:val="Hyperlink"/>
                <w:noProof/>
              </w:rPr>
              <w:t>1.4 Local de execução</w:t>
            </w:r>
            <w:r w:rsidR="00304E42">
              <w:rPr>
                <w:noProof/>
                <w:webHidden/>
              </w:rPr>
              <w:tab/>
            </w:r>
            <w:r w:rsidR="00304E42">
              <w:rPr>
                <w:noProof/>
                <w:webHidden/>
              </w:rPr>
              <w:fldChar w:fldCharType="begin"/>
            </w:r>
            <w:r w:rsidR="00304E42">
              <w:rPr>
                <w:noProof/>
                <w:webHidden/>
              </w:rPr>
              <w:instrText xml:space="preserve"> PAGEREF _Toc6842205 \h </w:instrText>
            </w:r>
            <w:r w:rsidR="00304E42">
              <w:rPr>
                <w:noProof/>
                <w:webHidden/>
              </w:rPr>
            </w:r>
            <w:r w:rsidR="00304E42">
              <w:rPr>
                <w:noProof/>
                <w:webHidden/>
              </w:rPr>
              <w:fldChar w:fldCharType="separate"/>
            </w:r>
            <w:r w:rsidR="00304E42">
              <w:rPr>
                <w:noProof/>
                <w:webHidden/>
              </w:rPr>
              <w:t>5</w:t>
            </w:r>
            <w:r w:rsidR="00304E42">
              <w:rPr>
                <w:noProof/>
                <w:webHidden/>
              </w:rPr>
              <w:fldChar w:fldCharType="end"/>
            </w:r>
          </w:hyperlink>
        </w:p>
        <w:p w:rsidR="00304E42" w:rsidRDefault="003C448D">
          <w:pPr>
            <w:pStyle w:val="Sumrio2"/>
            <w:tabs>
              <w:tab w:val="right" w:leader="dot" w:pos="9061"/>
            </w:tabs>
            <w:rPr>
              <w:rFonts w:asciiTheme="minorHAnsi" w:eastAsiaTheme="minorEastAsia" w:hAnsiTheme="minorHAnsi" w:cstheme="minorBidi"/>
              <w:noProof/>
              <w:sz w:val="22"/>
              <w:szCs w:val="22"/>
              <w:lang w:eastAsia="pt-BR"/>
            </w:rPr>
          </w:pPr>
          <w:hyperlink w:anchor="_Toc6842206" w:history="1">
            <w:r w:rsidR="00304E42" w:rsidRPr="00790A04">
              <w:rPr>
                <w:rStyle w:val="Hyperlink"/>
                <w:noProof/>
              </w:rPr>
              <w:t>1.5 Período</w:t>
            </w:r>
            <w:r w:rsidR="00304E42">
              <w:rPr>
                <w:noProof/>
                <w:webHidden/>
              </w:rPr>
              <w:tab/>
            </w:r>
            <w:r w:rsidR="00304E42">
              <w:rPr>
                <w:noProof/>
                <w:webHidden/>
              </w:rPr>
              <w:fldChar w:fldCharType="begin"/>
            </w:r>
            <w:r w:rsidR="00304E42">
              <w:rPr>
                <w:noProof/>
                <w:webHidden/>
              </w:rPr>
              <w:instrText xml:space="preserve"> PAGEREF _Toc6842206 \h </w:instrText>
            </w:r>
            <w:r w:rsidR="00304E42">
              <w:rPr>
                <w:noProof/>
                <w:webHidden/>
              </w:rPr>
            </w:r>
            <w:r w:rsidR="00304E42">
              <w:rPr>
                <w:noProof/>
                <w:webHidden/>
              </w:rPr>
              <w:fldChar w:fldCharType="separate"/>
            </w:r>
            <w:r w:rsidR="00304E42">
              <w:rPr>
                <w:noProof/>
                <w:webHidden/>
              </w:rPr>
              <w:t>5</w:t>
            </w:r>
            <w:r w:rsidR="00304E42">
              <w:rPr>
                <w:noProof/>
                <w:webHidden/>
              </w:rPr>
              <w:fldChar w:fldCharType="end"/>
            </w:r>
          </w:hyperlink>
        </w:p>
        <w:p w:rsidR="00304E42" w:rsidRDefault="003C448D">
          <w:pPr>
            <w:pStyle w:val="Sumrio2"/>
            <w:tabs>
              <w:tab w:val="right" w:leader="dot" w:pos="9061"/>
            </w:tabs>
            <w:rPr>
              <w:rFonts w:asciiTheme="minorHAnsi" w:eastAsiaTheme="minorEastAsia" w:hAnsiTheme="minorHAnsi" w:cstheme="minorBidi"/>
              <w:noProof/>
              <w:sz w:val="22"/>
              <w:szCs w:val="22"/>
              <w:lang w:eastAsia="pt-BR"/>
            </w:rPr>
          </w:pPr>
          <w:hyperlink w:anchor="_Toc6842207" w:history="1">
            <w:r w:rsidR="00304E42" w:rsidRPr="00790A04">
              <w:rPr>
                <w:rStyle w:val="Hyperlink"/>
                <w:noProof/>
              </w:rPr>
              <w:t>1.6 Fontes de financiamento</w:t>
            </w:r>
            <w:r w:rsidR="00304E42">
              <w:rPr>
                <w:noProof/>
                <w:webHidden/>
              </w:rPr>
              <w:tab/>
            </w:r>
            <w:r w:rsidR="00304E42">
              <w:rPr>
                <w:noProof/>
                <w:webHidden/>
              </w:rPr>
              <w:fldChar w:fldCharType="begin"/>
            </w:r>
            <w:r w:rsidR="00304E42">
              <w:rPr>
                <w:noProof/>
                <w:webHidden/>
              </w:rPr>
              <w:instrText xml:space="preserve"> PAGEREF _Toc6842207 \h </w:instrText>
            </w:r>
            <w:r w:rsidR="00304E42">
              <w:rPr>
                <w:noProof/>
                <w:webHidden/>
              </w:rPr>
            </w:r>
            <w:r w:rsidR="00304E42">
              <w:rPr>
                <w:noProof/>
                <w:webHidden/>
              </w:rPr>
              <w:fldChar w:fldCharType="separate"/>
            </w:r>
            <w:r w:rsidR="00304E42">
              <w:rPr>
                <w:noProof/>
                <w:webHidden/>
              </w:rPr>
              <w:t>5</w:t>
            </w:r>
            <w:r w:rsidR="00304E42">
              <w:rPr>
                <w:noProof/>
                <w:webHidden/>
              </w:rPr>
              <w:fldChar w:fldCharType="end"/>
            </w:r>
          </w:hyperlink>
        </w:p>
        <w:p w:rsidR="00304E42" w:rsidRDefault="003C448D">
          <w:pPr>
            <w:pStyle w:val="Sumrio2"/>
            <w:tabs>
              <w:tab w:val="right" w:leader="dot" w:pos="9061"/>
            </w:tabs>
            <w:rPr>
              <w:rFonts w:asciiTheme="minorHAnsi" w:eastAsiaTheme="minorEastAsia" w:hAnsiTheme="minorHAnsi" w:cstheme="minorBidi"/>
              <w:noProof/>
              <w:sz w:val="22"/>
              <w:szCs w:val="22"/>
              <w:lang w:eastAsia="pt-BR"/>
            </w:rPr>
          </w:pPr>
          <w:hyperlink w:anchor="_Toc6842208" w:history="1">
            <w:r w:rsidR="00304E42" w:rsidRPr="00790A04">
              <w:rPr>
                <w:rStyle w:val="Hyperlink"/>
                <w:noProof/>
              </w:rPr>
              <w:t>1.7 Recursos materiais</w:t>
            </w:r>
            <w:r w:rsidR="00304E42">
              <w:rPr>
                <w:noProof/>
                <w:webHidden/>
              </w:rPr>
              <w:tab/>
            </w:r>
            <w:r w:rsidR="00304E42">
              <w:rPr>
                <w:noProof/>
                <w:webHidden/>
              </w:rPr>
              <w:fldChar w:fldCharType="begin"/>
            </w:r>
            <w:r w:rsidR="00304E42">
              <w:rPr>
                <w:noProof/>
                <w:webHidden/>
              </w:rPr>
              <w:instrText xml:space="preserve"> PAGEREF _Toc6842208 \h </w:instrText>
            </w:r>
            <w:r w:rsidR="00304E42">
              <w:rPr>
                <w:noProof/>
                <w:webHidden/>
              </w:rPr>
            </w:r>
            <w:r w:rsidR="00304E42">
              <w:rPr>
                <w:noProof/>
                <w:webHidden/>
              </w:rPr>
              <w:fldChar w:fldCharType="separate"/>
            </w:r>
            <w:r w:rsidR="00304E42">
              <w:rPr>
                <w:noProof/>
                <w:webHidden/>
              </w:rPr>
              <w:t>5</w:t>
            </w:r>
            <w:r w:rsidR="00304E42">
              <w:rPr>
                <w:noProof/>
                <w:webHidden/>
              </w:rPr>
              <w:fldChar w:fldCharType="end"/>
            </w:r>
          </w:hyperlink>
        </w:p>
        <w:p w:rsidR="00304E42" w:rsidRDefault="003C448D">
          <w:pPr>
            <w:pStyle w:val="Sumrio2"/>
            <w:tabs>
              <w:tab w:val="right" w:leader="dot" w:pos="9061"/>
            </w:tabs>
            <w:rPr>
              <w:rFonts w:asciiTheme="minorHAnsi" w:eastAsiaTheme="minorEastAsia" w:hAnsiTheme="minorHAnsi" w:cstheme="minorBidi"/>
              <w:noProof/>
              <w:sz w:val="22"/>
              <w:szCs w:val="22"/>
              <w:lang w:eastAsia="pt-BR"/>
            </w:rPr>
          </w:pPr>
          <w:hyperlink w:anchor="_Toc6842209" w:history="1">
            <w:r w:rsidR="00304E42" w:rsidRPr="00790A04">
              <w:rPr>
                <w:rStyle w:val="Hyperlink"/>
                <w:noProof/>
              </w:rPr>
              <w:t>1.8 Tema da pesquisa</w:t>
            </w:r>
            <w:r w:rsidR="00304E42">
              <w:rPr>
                <w:noProof/>
                <w:webHidden/>
              </w:rPr>
              <w:tab/>
            </w:r>
            <w:r w:rsidR="00304E42">
              <w:rPr>
                <w:noProof/>
                <w:webHidden/>
              </w:rPr>
              <w:fldChar w:fldCharType="begin"/>
            </w:r>
            <w:r w:rsidR="00304E42">
              <w:rPr>
                <w:noProof/>
                <w:webHidden/>
              </w:rPr>
              <w:instrText xml:space="preserve"> PAGEREF _Toc6842209 \h </w:instrText>
            </w:r>
            <w:r w:rsidR="00304E42">
              <w:rPr>
                <w:noProof/>
                <w:webHidden/>
              </w:rPr>
            </w:r>
            <w:r w:rsidR="00304E42">
              <w:rPr>
                <w:noProof/>
                <w:webHidden/>
              </w:rPr>
              <w:fldChar w:fldCharType="separate"/>
            </w:r>
            <w:r w:rsidR="00304E42">
              <w:rPr>
                <w:noProof/>
                <w:webHidden/>
              </w:rPr>
              <w:t>5</w:t>
            </w:r>
            <w:r w:rsidR="00304E42">
              <w:rPr>
                <w:noProof/>
                <w:webHidden/>
              </w:rPr>
              <w:fldChar w:fldCharType="end"/>
            </w:r>
          </w:hyperlink>
        </w:p>
        <w:p w:rsidR="00304E42" w:rsidRDefault="003C448D">
          <w:pPr>
            <w:pStyle w:val="Sumrio2"/>
            <w:tabs>
              <w:tab w:val="right" w:leader="dot" w:pos="9061"/>
            </w:tabs>
            <w:rPr>
              <w:rFonts w:asciiTheme="minorHAnsi" w:eastAsiaTheme="minorEastAsia" w:hAnsiTheme="minorHAnsi" w:cstheme="minorBidi"/>
              <w:noProof/>
              <w:sz w:val="22"/>
              <w:szCs w:val="22"/>
              <w:lang w:eastAsia="pt-BR"/>
            </w:rPr>
          </w:pPr>
          <w:hyperlink w:anchor="_Toc6842210" w:history="1">
            <w:r w:rsidR="00304E42" w:rsidRPr="00790A04">
              <w:rPr>
                <w:rStyle w:val="Hyperlink"/>
                <w:noProof/>
              </w:rPr>
              <w:t>1.9 Problema da pesquisa</w:t>
            </w:r>
            <w:r w:rsidR="00304E42">
              <w:rPr>
                <w:noProof/>
                <w:webHidden/>
              </w:rPr>
              <w:tab/>
            </w:r>
            <w:r w:rsidR="00304E42">
              <w:rPr>
                <w:noProof/>
                <w:webHidden/>
              </w:rPr>
              <w:fldChar w:fldCharType="begin"/>
            </w:r>
            <w:r w:rsidR="00304E42">
              <w:rPr>
                <w:noProof/>
                <w:webHidden/>
              </w:rPr>
              <w:instrText xml:space="preserve"> PAGEREF _Toc6842210 \h </w:instrText>
            </w:r>
            <w:r w:rsidR="00304E42">
              <w:rPr>
                <w:noProof/>
                <w:webHidden/>
              </w:rPr>
            </w:r>
            <w:r w:rsidR="00304E42">
              <w:rPr>
                <w:noProof/>
                <w:webHidden/>
              </w:rPr>
              <w:fldChar w:fldCharType="separate"/>
            </w:r>
            <w:r w:rsidR="00304E42">
              <w:rPr>
                <w:noProof/>
                <w:webHidden/>
              </w:rPr>
              <w:t>5</w:t>
            </w:r>
            <w:r w:rsidR="00304E42">
              <w:rPr>
                <w:noProof/>
                <w:webHidden/>
              </w:rPr>
              <w:fldChar w:fldCharType="end"/>
            </w:r>
          </w:hyperlink>
        </w:p>
        <w:p w:rsidR="00304E42" w:rsidRDefault="003C448D">
          <w:pPr>
            <w:pStyle w:val="Sumrio2"/>
            <w:tabs>
              <w:tab w:val="right" w:leader="dot" w:pos="9061"/>
            </w:tabs>
            <w:rPr>
              <w:rFonts w:asciiTheme="minorHAnsi" w:eastAsiaTheme="minorEastAsia" w:hAnsiTheme="minorHAnsi" w:cstheme="minorBidi"/>
              <w:noProof/>
              <w:sz w:val="22"/>
              <w:szCs w:val="22"/>
              <w:lang w:eastAsia="pt-BR"/>
            </w:rPr>
          </w:pPr>
          <w:hyperlink w:anchor="_Toc6842211" w:history="1">
            <w:r w:rsidR="00304E42" w:rsidRPr="00790A04">
              <w:rPr>
                <w:rStyle w:val="Hyperlink"/>
                <w:noProof/>
              </w:rPr>
              <w:t>1.10 Hipóteses</w:t>
            </w:r>
            <w:r w:rsidR="00304E42">
              <w:rPr>
                <w:noProof/>
                <w:webHidden/>
              </w:rPr>
              <w:tab/>
            </w:r>
            <w:r w:rsidR="00304E42">
              <w:rPr>
                <w:noProof/>
                <w:webHidden/>
              </w:rPr>
              <w:fldChar w:fldCharType="begin"/>
            </w:r>
            <w:r w:rsidR="00304E42">
              <w:rPr>
                <w:noProof/>
                <w:webHidden/>
              </w:rPr>
              <w:instrText xml:space="preserve"> PAGEREF _Toc6842211 \h </w:instrText>
            </w:r>
            <w:r w:rsidR="00304E42">
              <w:rPr>
                <w:noProof/>
                <w:webHidden/>
              </w:rPr>
            </w:r>
            <w:r w:rsidR="00304E42">
              <w:rPr>
                <w:noProof/>
                <w:webHidden/>
              </w:rPr>
              <w:fldChar w:fldCharType="separate"/>
            </w:r>
            <w:r w:rsidR="00304E42">
              <w:rPr>
                <w:noProof/>
                <w:webHidden/>
              </w:rPr>
              <w:t>5</w:t>
            </w:r>
            <w:r w:rsidR="00304E42">
              <w:rPr>
                <w:noProof/>
                <w:webHidden/>
              </w:rPr>
              <w:fldChar w:fldCharType="end"/>
            </w:r>
          </w:hyperlink>
        </w:p>
        <w:p w:rsidR="00304E42" w:rsidRDefault="003C448D" w:rsidP="00304E42">
          <w:pPr>
            <w:pStyle w:val="Sumrio1"/>
            <w:rPr>
              <w:rFonts w:asciiTheme="minorHAnsi" w:eastAsiaTheme="minorEastAsia" w:hAnsiTheme="minorHAnsi" w:cstheme="minorBidi"/>
              <w:noProof/>
              <w:sz w:val="22"/>
              <w:szCs w:val="22"/>
              <w:lang w:eastAsia="pt-BR"/>
            </w:rPr>
          </w:pPr>
          <w:hyperlink w:anchor="_Toc6842212" w:history="1">
            <w:r w:rsidR="00304E42" w:rsidRPr="00790A04">
              <w:rPr>
                <w:rStyle w:val="Hyperlink"/>
                <w:rFonts w:cs="Arial"/>
                <w:noProof/>
              </w:rPr>
              <w:t>2 INTRODUÇÃO E JUSTIFICATIVA</w:t>
            </w:r>
            <w:r w:rsidR="00304E42">
              <w:rPr>
                <w:noProof/>
                <w:webHidden/>
              </w:rPr>
              <w:tab/>
            </w:r>
            <w:r w:rsidR="00304E42">
              <w:rPr>
                <w:noProof/>
                <w:webHidden/>
              </w:rPr>
              <w:fldChar w:fldCharType="begin"/>
            </w:r>
            <w:r w:rsidR="00304E42">
              <w:rPr>
                <w:noProof/>
                <w:webHidden/>
              </w:rPr>
              <w:instrText xml:space="preserve"> PAGEREF _Toc6842212 \h </w:instrText>
            </w:r>
            <w:r w:rsidR="00304E42">
              <w:rPr>
                <w:noProof/>
                <w:webHidden/>
              </w:rPr>
            </w:r>
            <w:r w:rsidR="00304E42">
              <w:rPr>
                <w:noProof/>
                <w:webHidden/>
              </w:rPr>
              <w:fldChar w:fldCharType="separate"/>
            </w:r>
            <w:r w:rsidR="00304E42">
              <w:rPr>
                <w:noProof/>
                <w:webHidden/>
              </w:rPr>
              <w:t>6</w:t>
            </w:r>
            <w:r w:rsidR="00304E42">
              <w:rPr>
                <w:noProof/>
                <w:webHidden/>
              </w:rPr>
              <w:fldChar w:fldCharType="end"/>
            </w:r>
          </w:hyperlink>
        </w:p>
        <w:p w:rsidR="00304E42" w:rsidRDefault="003C448D">
          <w:pPr>
            <w:pStyle w:val="Sumrio2"/>
            <w:tabs>
              <w:tab w:val="right" w:leader="dot" w:pos="9061"/>
            </w:tabs>
            <w:rPr>
              <w:rFonts w:asciiTheme="minorHAnsi" w:eastAsiaTheme="minorEastAsia" w:hAnsiTheme="minorHAnsi" w:cstheme="minorBidi"/>
              <w:noProof/>
              <w:sz w:val="22"/>
              <w:szCs w:val="22"/>
              <w:lang w:eastAsia="pt-BR"/>
            </w:rPr>
          </w:pPr>
          <w:hyperlink w:anchor="_Toc6842213" w:history="1">
            <w:r w:rsidR="00304E42" w:rsidRPr="00790A04">
              <w:rPr>
                <w:rStyle w:val="Hyperlink"/>
                <w:noProof/>
              </w:rPr>
              <w:t>2.1 Avaliação toxicológica</w:t>
            </w:r>
            <w:r w:rsidR="00304E42">
              <w:rPr>
                <w:noProof/>
                <w:webHidden/>
              </w:rPr>
              <w:tab/>
            </w:r>
            <w:r w:rsidR="00304E42">
              <w:rPr>
                <w:noProof/>
                <w:webHidden/>
              </w:rPr>
              <w:fldChar w:fldCharType="begin"/>
            </w:r>
            <w:r w:rsidR="00304E42">
              <w:rPr>
                <w:noProof/>
                <w:webHidden/>
              </w:rPr>
              <w:instrText xml:space="preserve"> PAGEREF _Toc6842213 \h </w:instrText>
            </w:r>
            <w:r w:rsidR="00304E42">
              <w:rPr>
                <w:noProof/>
                <w:webHidden/>
              </w:rPr>
            </w:r>
            <w:r w:rsidR="00304E42">
              <w:rPr>
                <w:noProof/>
                <w:webHidden/>
              </w:rPr>
              <w:fldChar w:fldCharType="separate"/>
            </w:r>
            <w:r w:rsidR="00304E42">
              <w:rPr>
                <w:noProof/>
                <w:webHidden/>
              </w:rPr>
              <w:t>8</w:t>
            </w:r>
            <w:r w:rsidR="00304E42">
              <w:rPr>
                <w:noProof/>
                <w:webHidden/>
              </w:rPr>
              <w:fldChar w:fldCharType="end"/>
            </w:r>
          </w:hyperlink>
        </w:p>
        <w:p w:rsidR="00304E42" w:rsidRDefault="003C448D">
          <w:pPr>
            <w:pStyle w:val="Sumrio2"/>
            <w:tabs>
              <w:tab w:val="right" w:leader="dot" w:pos="9061"/>
            </w:tabs>
            <w:rPr>
              <w:rFonts w:asciiTheme="minorHAnsi" w:eastAsiaTheme="minorEastAsia" w:hAnsiTheme="minorHAnsi" w:cstheme="minorBidi"/>
              <w:noProof/>
              <w:sz w:val="22"/>
              <w:szCs w:val="22"/>
              <w:lang w:eastAsia="pt-BR"/>
            </w:rPr>
          </w:pPr>
          <w:hyperlink w:anchor="_Toc6842214" w:history="1">
            <w:r w:rsidR="00304E42" w:rsidRPr="00790A04">
              <w:rPr>
                <w:rStyle w:val="Hyperlink"/>
                <w:noProof/>
              </w:rPr>
              <w:t>2.2 Testes sobre a toxicidade reprodutiva</w:t>
            </w:r>
            <w:r w:rsidR="00304E42">
              <w:rPr>
                <w:noProof/>
                <w:webHidden/>
              </w:rPr>
              <w:tab/>
            </w:r>
            <w:r w:rsidR="00304E42">
              <w:rPr>
                <w:noProof/>
                <w:webHidden/>
              </w:rPr>
              <w:fldChar w:fldCharType="begin"/>
            </w:r>
            <w:r w:rsidR="00304E42">
              <w:rPr>
                <w:noProof/>
                <w:webHidden/>
              </w:rPr>
              <w:instrText xml:space="preserve"> PAGEREF _Toc6842214 \h </w:instrText>
            </w:r>
            <w:r w:rsidR="00304E42">
              <w:rPr>
                <w:noProof/>
                <w:webHidden/>
              </w:rPr>
            </w:r>
            <w:r w:rsidR="00304E42">
              <w:rPr>
                <w:noProof/>
                <w:webHidden/>
              </w:rPr>
              <w:fldChar w:fldCharType="separate"/>
            </w:r>
            <w:r w:rsidR="00304E42">
              <w:rPr>
                <w:noProof/>
                <w:webHidden/>
              </w:rPr>
              <w:t>9</w:t>
            </w:r>
            <w:r w:rsidR="00304E42">
              <w:rPr>
                <w:noProof/>
                <w:webHidden/>
              </w:rPr>
              <w:fldChar w:fldCharType="end"/>
            </w:r>
          </w:hyperlink>
        </w:p>
        <w:p w:rsidR="00304E42" w:rsidRDefault="003C448D" w:rsidP="00304E42">
          <w:pPr>
            <w:pStyle w:val="Sumrio1"/>
            <w:rPr>
              <w:rFonts w:asciiTheme="minorHAnsi" w:eastAsiaTheme="minorEastAsia" w:hAnsiTheme="minorHAnsi" w:cstheme="minorBidi"/>
              <w:noProof/>
              <w:sz w:val="22"/>
              <w:szCs w:val="22"/>
              <w:lang w:eastAsia="pt-BR"/>
            </w:rPr>
          </w:pPr>
          <w:hyperlink w:anchor="_Toc6842215" w:history="1">
            <w:r w:rsidR="00304E42" w:rsidRPr="00790A04">
              <w:rPr>
                <w:rStyle w:val="Hyperlink"/>
                <w:rFonts w:cs="Arial"/>
                <w:noProof/>
              </w:rPr>
              <w:t>3 OBJETIVOS</w:t>
            </w:r>
            <w:r w:rsidR="00304E42">
              <w:rPr>
                <w:noProof/>
                <w:webHidden/>
              </w:rPr>
              <w:tab/>
            </w:r>
            <w:r w:rsidR="00304E42">
              <w:rPr>
                <w:noProof/>
                <w:webHidden/>
              </w:rPr>
              <w:fldChar w:fldCharType="begin"/>
            </w:r>
            <w:r w:rsidR="00304E42">
              <w:rPr>
                <w:noProof/>
                <w:webHidden/>
              </w:rPr>
              <w:instrText xml:space="preserve"> PAGEREF _Toc6842215 \h </w:instrText>
            </w:r>
            <w:r w:rsidR="00304E42">
              <w:rPr>
                <w:noProof/>
                <w:webHidden/>
              </w:rPr>
            </w:r>
            <w:r w:rsidR="00304E42">
              <w:rPr>
                <w:noProof/>
                <w:webHidden/>
              </w:rPr>
              <w:fldChar w:fldCharType="separate"/>
            </w:r>
            <w:r w:rsidR="00304E42">
              <w:rPr>
                <w:noProof/>
                <w:webHidden/>
              </w:rPr>
              <w:t>10</w:t>
            </w:r>
            <w:r w:rsidR="00304E42">
              <w:rPr>
                <w:noProof/>
                <w:webHidden/>
              </w:rPr>
              <w:fldChar w:fldCharType="end"/>
            </w:r>
          </w:hyperlink>
        </w:p>
        <w:p w:rsidR="00304E42" w:rsidRDefault="003C448D">
          <w:pPr>
            <w:pStyle w:val="Sumrio2"/>
            <w:tabs>
              <w:tab w:val="right" w:leader="dot" w:pos="9061"/>
            </w:tabs>
            <w:rPr>
              <w:rFonts w:asciiTheme="minorHAnsi" w:eastAsiaTheme="minorEastAsia" w:hAnsiTheme="minorHAnsi" w:cstheme="minorBidi"/>
              <w:noProof/>
              <w:sz w:val="22"/>
              <w:szCs w:val="22"/>
              <w:lang w:eastAsia="pt-BR"/>
            </w:rPr>
          </w:pPr>
          <w:hyperlink w:anchor="_Toc6842216" w:history="1">
            <w:r w:rsidR="00304E42" w:rsidRPr="00790A04">
              <w:rPr>
                <w:rStyle w:val="Hyperlink"/>
                <w:noProof/>
              </w:rPr>
              <w:t>3.1 Objetivo geral</w:t>
            </w:r>
            <w:r w:rsidR="00304E42">
              <w:rPr>
                <w:noProof/>
                <w:webHidden/>
              </w:rPr>
              <w:tab/>
            </w:r>
            <w:r w:rsidR="00304E42">
              <w:rPr>
                <w:noProof/>
                <w:webHidden/>
              </w:rPr>
              <w:fldChar w:fldCharType="begin"/>
            </w:r>
            <w:r w:rsidR="00304E42">
              <w:rPr>
                <w:noProof/>
                <w:webHidden/>
              </w:rPr>
              <w:instrText xml:space="preserve"> PAGEREF _Toc6842216 \h </w:instrText>
            </w:r>
            <w:r w:rsidR="00304E42">
              <w:rPr>
                <w:noProof/>
                <w:webHidden/>
              </w:rPr>
            </w:r>
            <w:r w:rsidR="00304E42">
              <w:rPr>
                <w:noProof/>
                <w:webHidden/>
              </w:rPr>
              <w:fldChar w:fldCharType="separate"/>
            </w:r>
            <w:r w:rsidR="00304E42">
              <w:rPr>
                <w:noProof/>
                <w:webHidden/>
              </w:rPr>
              <w:t>10</w:t>
            </w:r>
            <w:r w:rsidR="00304E42">
              <w:rPr>
                <w:noProof/>
                <w:webHidden/>
              </w:rPr>
              <w:fldChar w:fldCharType="end"/>
            </w:r>
          </w:hyperlink>
        </w:p>
        <w:p w:rsidR="00304E42" w:rsidRDefault="003C448D">
          <w:pPr>
            <w:pStyle w:val="Sumrio2"/>
            <w:tabs>
              <w:tab w:val="right" w:leader="dot" w:pos="9061"/>
            </w:tabs>
            <w:rPr>
              <w:rFonts w:asciiTheme="minorHAnsi" w:eastAsiaTheme="minorEastAsia" w:hAnsiTheme="minorHAnsi" w:cstheme="minorBidi"/>
              <w:noProof/>
              <w:sz w:val="22"/>
              <w:szCs w:val="22"/>
              <w:lang w:eastAsia="pt-BR"/>
            </w:rPr>
          </w:pPr>
          <w:hyperlink w:anchor="_Toc6842217" w:history="1">
            <w:r w:rsidR="00304E42" w:rsidRPr="00790A04">
              <w:rPr>
                <w:rStyle w:val="Hyperlink"/>
                <w:noProof/>
              </w:rPr>
              <w:t>3.2 Objetivo específico</w:t>
            </w:r>
            <w:r w:rsidR="00304E42">
              <w:rPr>
                <w:noProof/>
                <w:webHidden/>
              </w:rPr>
              <w:tab/>
            </w:r>
            <w:r w:rsidR="00304E42">
              <w:rPr>
                <w:noProof/>
                <w:webHidden/>
              </w:rPr>
              <w:fldChar w:fldCharType="begin"/>
            </w:r>
            <w:r w:rsidR="00304E42">
              <w:rPr>
                <w:noProof/>
                <w:webHidden/>
              </w:rPr>
              <w:instrText xml:space="preserve"> PAGEREF _Toc6842217 \h </w:instrText>
            </w:r>
            <w:r w:rsidR="00304E42">
              <w:rPr>
                <w:noProof/>
                <w:webHidden/>
              </w:rPr>
            </w:r>
            <w:r w:rsidR="00304E42">
              <w:rPr>
                <w:noProof/>
                <w:webHidden/>
              </w:rPr>
              <w:fldChar w:fldCharType="separate"/>
            </w:r>
            <w:r w:rsidR="00304E42">
              <w:rPr>
                <w:noProof/>
                <w:webHidden/>
              </w:rPr>
              <w:t>10</w:t>
            </w:r>
            <w:r w:rsidR="00304E42">
              <w:rPr>
                <w:noProof/>
                <w:webHidden/>
              </w:rPr>
              <w:fldChar w:fldCharType="end"/>
            </w:r>
          </w:hyperlink>
        </w:p>
        <w:p w:rsidR="00304E42" w:rsidRDefault="003C448D" w:rsidP="00304E42">
          <w:pPr>
            <w:pStyle w:val="Sumrio1"/>
            <w:rPr>
              <w:rFonts w:asciiTheme="minorHAnsi" w:eastAsiaTheme="minorEastAsia" w:hAnsiTheme="minorHAnsi" w:cstheme="minorBidi"/>
              <w:noProof/>
              <w:sz w:val="22"/>
              <w:szCs w:val="22"/>
              <w:lang w:eastAsia="pt-BR"/>
            </w:rPr>
          </w:pPr>
          <w:hyperlink w:anchor="_Toc6842218" w:history="1">
            <w:r w:rsidR="00304E42" w:rsidRPr="00790A04">
              <w:rPr>
                <w:rStyle w:val="Hyperlink"/>
                <w:noProof/>
              </w:rPr>
              <w:t>4 MATERIAIS E MÉTODOS</w:t>
            </w:r>
            <w:r w:rsidR="00304E42">
              <w:rPr>
                <w:noProof/>
                <w:webHidden/>
              </w:rPr>
              <w:tab/>
            </w:r>
            <w:r w:rsidR="00304E42">
              <w:rPr>
                <w:noProof/>
                <w:webHidden/>
              </w:rPr>
              <w:fldChar w:fldCharType="begin"/>
            </w:r>
            <w:r w:rsidR="00304E42">
              <w:rPr>
                <w:noProof/>
                <w:webHidden/>
              </w:rPr>
              <w:instrText xml:space="preserve"> PAGEREF _Toc6842218 \h </w:instrText>
            </w:r>
            <w:r w:rsidR="00304E42">
              <w:rPr>
                <w:noProof/>
                <w:webHidden/>
              </w:rPr>
            </w:r>
            <w:r w:rsidR="00304E42">
              <w:rPr>
                <w:noProof/>
                <w:webHidden/>
              </w:rPr>
              <w:fldChar w:fldCharType="separate"/>
            </w:r>
            <w:r w:rsidR="00304E42">
              <w:rPr>
                <w:noProof/>
                <w:webHidden/>
              </w:rPr>
              <w:t>11</w:t>
            </w:r>
            <w:r w:rsidR="00304E42">
              <w:rPr>
                <w:noProof/>
                <w:webHidden/>
              </w:rPr>
              <w:fldChar w:fldCharType="end"/>
            </w:r>
          </w:hyperlink>
        </w:p>
        <w:p w:rsidR="00304E42" w:rsidRDefault="003C448D">
          <w:pPr>
            <w:pStyle w:val="Sumrio2"/>
            <w:tabs>
              <w:tab w:val="right" w:leader="dot" w:pos="9061"/>
            </w:tabs>
            <w:rPr>
              <w:rFonts w:asciiTheme="minorHAnsi" w:eastAsiaTheme="minorEastAsia" w:hAnsiTheme="minorHAnsi" w:cstheme="minorBidi"/>
              <w:noProof/>
              <w:sz w:val="22"/>
              <w:szCs w:val="22"/>
              <w:lang w:eastAsia="pt-BR"/>
            </w:rPr>
          </w:pPr>
          <w:hyperlink w:anchor="_Toc6842219" w:history="1">
            <w:r w:rsidR="00304E42" w:rsidRPr="00790A04">
              <w:rPr>
                <w:rStyle w:val="Hyperlink"/>
                <w:noProof/>
              </w:rPr>
              <w:t>4.1 Obtenção do Material Vegetal</w:t>
            </w:r>
            <w:r w:rsidR="00304E42">
              <w:rPr>
                <w:noProof/>
                <w:webHidden/>
              </w:rPr>
              <w:tab/>
            </w:r>
            <w:r w:rsidR="00304E42">
              <w:rPr>
                <w:noProof/>
                <w:webHidden/>
              </w:rPr>
              <w:fldChar w:fldCharType="begin"/>
            </w:r>
            <w:r w:rsidR="00304E42">
              <w:rPr>
                <w:noProof/>
                <w:webHidden/>
              </w:rPr>
              <w:instrText xml:space="preserve"> PAGEREF _Toc6842219 \h </w:instrText>
            </w:r>
            <w:r w:rsidR="00304E42">
              <w:rPr>
                <w:noProof/>
                <w:webHidden/>
              </w:rPr>
            </w:r>
            <w:r w:rsidR="00304E42">
              <w:rPr>
                <w:noProof/>
                <w:webHidden/>
              </w:rPr>
              <w:fldChar w:fldCharType="separate"/>
            </w:r>
            <w:r w:rsidR="00304E42">
              <w:rPr>
                <w:noProof/>
                <w:webHidden/>
              </w:rPr>
              <w:t>11</w:t>
            </w:r>
            <w:r w:rsidR="00304E42">
              <w:rPr>
                <w:noProof/>
                <w:webHidden/>
              </w:rPr>
              <w:fldChar w:fldCharType="end"/>
            </w:r>
          </w:hyperlink>
        </w:p>
        <w:p w:rsidR="00304E42" w:rsidRDefault="003C448D">
          <w:pPr>
            <w:pStyle w:val="Sumrio2"/>
            <w:tabs>
              <w:tab w:val="right" w:leader="dot" w:pos="9061"/>
            </w:tabs>
            <w:rPr>
              <w:rFonts w:asciiTheme="minorHAnsi" w:eastAsiaTheme="minorEastAsia" w:hAnsiTheme="minorHAnsi" w:cstheme="minorBidi"/>
              <w:noProof/>
              <w:sz w:val="22"/>
              <w:szCs w:val="22"/>
              <w:lang w:eastAsia="pt-BR"/>
            </w:rPr>
          </w:pPr>
          <w:hyperlink w:anchor="_Toc6842220" w:history="1">
            <w:r w:rsidR="00304E42" w:rsidRPr="00790A04">
              <w:rPr>
                <w:rStyle w:val="Hyperlink"/>
                <w:noProof/>
              </w:rPr>
              <w:t>4.2 Protocolo Experimental de Toxicidade Crônica e Reprodutiva (Segmento I)</w:t>
            </w:r>
            <w:r w:rsidR="00304E42">
              <w:rPr>
                <w:noProof/>
                <w:webHidden/>
              </w:rPr>
              <w:tab/>
            </w:r>
            <w:r w:rsidR="00304E42">
              <w:rPr>
                <w:noProof/>
                <w:webHidden/>
              </w:rPr>
              <w:fldChar w:fldCharType="begin"/>
            </w:r>
            <w:r w:rsidR="00304E42">
              <w:rPr>
                <w:noProof/>
                <w:webHidden/>
              </w:rPr>
              <w:instrText xml:space="preserve"> PAGEREF _Toc6842220 \h </w:instrText>
            </w:r>
            <w:r w:rsidR="00304E42">
              <w:rPr>
                <w:noProof/>
                <w:webHidden/>
              </w:rPr>
            </w:r>
            <w:r w:rsidR="00304E42">
              <w:rPr>
                <w:noProof/>
                <w:webHidden/>
              </w:rPr>
              <w:fldChar w:fldCharType="separate"/>
            </w:r>
            <w:r w:rsidR="00304E42">
              <w:rPr>
                <w:noProof/>
                <w:webHidden/>
              </w:rPr>
              <w:t>11</w:t>
            </w:r>
            <w:r w:rsidR="00304E42">
              <w:rPr>
                <w:noProof/>
                <w:webHidden/>
              </w:rPr>
              <w:fldChar w:fldCharType="end"/>
            </w:r>
          </w:hyperlink>
        </w:p>
        <w:p w:rsidR="00304E42" w:rsidRDefault="003C448D">
          <w:pPr>
            <w:pStyle w:val="Sumrio3"/>
            <w:tabs>
              <w:tab w:val="right" w:leader="dot" w:pos="9061"/>
            </w:tabs>
            <w:rPr>
              <w:rFonts w:asciiTheme="minorHAnsi" w:eastAsiaTheme="minorEastAsia" w:hAnsiTheme="minorHAnsi" w:cstheme="minorBidi"/>
              <w:noProof/>
              <w:sz w:val="22"/>
              <w:szCs w:val="22"/>
              <w:lang w:eastAsia="pt-BR"/>
            </w:rPr>
          </w:pPr>
          <w:hyperlink w:anchor="_Toc6842221" w:history="1">
            <w:r w:rsidR="00304E42" w:rsidRPr="00790A04">
              <w:rPr>
                <w:rStyle w:val="Hyperlink"/>
                <w:noProof/>
              </w:rPr>
              <w:t>4.2.1 Animais</w:t>
            </w:r>
            <w:r w:rsidR="00304E42">
              <w:rPr>
                <w:noProof/>
                <w:webHidden/>
              </w:rPr>
              <w:tab/>
            </w:r>
            <w:r w:rsidR="00304E42">
              <w:rPr>
                <w:noProof/>
                <w:webHidden/>
              </w:rPr>
              <w:fldChar w:fldCharType="begin"/>
            </w:r>
            <w:r w:rsidR="00304E42">
              <w:rPr>
                <w:noProof/>
                <w:webHidden/>
              </w:rPr>
              <w:instrText xml:space="preserve"> PAGEREF _Toc6842221 \h </w:instrText>
            </w:r>
            <w:r w:rsidR="00304E42">
              <w:rPr>
                <w:noProof/>
                <w:webHidden/>
              </w:rPr>
            </w:r>
            <w:r w:rsidR="00304E42">
              <w:rPr>
                <w:noProof/>
                <w:webHidden/>
              </w:rPr>
              <w:fldChar w:fldCharType="separate"/>
            </w:r>
            <w:r w:rsidR="00304E42">
              <w:rPr>
                <w:noProof/>
                <w:webHidden/>
              </w:rPr>
              <w:t>11</w:t>
            </w:r>
            <w:r w:rsidR="00304E42">
              <w:rPr>
                <w:noProof/>
                <w:webHidden/>
              </w:rPr>
              <w:fldChar w:fldCharType="end"/>
            </w:r>
          </w:hyperlink>
        </w:p>
        <w:p w:rsidR="00304E42" w:rsidRDefault="003C448D">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6842222" w:history="1">
            <w:r w:rsidR="00304E42" w:rsidRPr="00790A04">
              <w:rPr>
                <w:rStyle w:val="Hyperlink"/>
                <w:noProof/>
              </w:rPr>
              <w:t>4.2.2</w:t>
            </w:r>
            <w:r w:rsidR="00304E42">
              <w:rPr>
                <w:rFonts w:asciiTheme="minorHAnsi" w:eastAsiaTheme="minorEastAsia" w:hAnsiTheme="minorHAnsi" w:cstheme="minorBidi"/>
                <w:noProof/>
                <w:sz w:val="22"/>
                <w:szCs w:val="22"/>
                <w:lang w:eastAsia="pt-BR"/>
              </w:rPr>
              <w:t xml:space="preserve"> </w:t>
            </w:r>
            <w:r w:rsidR="00304E42" w:rsidRPr="00790A04">
              <w:rPr>
                <w:rStyle w:val="Hyperlink"/>
                <w:noProof/>
              </w:rPr>
              <w:t>Justificativa do Número de Animais</w:t>
            </w:r>
            <w:r w:rsidR="00304E42">
              <w:rPr>
                <w:noProof/>
                <w:webHidden/>
              </w:rPr>
              <w:tab/>
            </w:r>
            <w:r w:rsidR="00304E42">
              <w:rPr>
                <w:noProof/>
                <w:webHidden/>
              </w:rPr>
              <w:fldChar w:fldCharType="begin"/>
            </w:r>
            <w:r w:rsidR="00304E42">
              <w:rPr>
                <w:noProof/>
                <w:webHidden/>
              </w:rPr>
              <w:instrText xml:space="preserve"> PAGEREF _Toc6842222 \h </w:instrText>
            </w:r>
            <w:r w:rsidR="00304E42">
              <w:rPr>
                <w:noProof/>
                <w:webHidden/>
              </w:rPr>
            </w:r>
            <w:r w:rsidR="00304E42">
              <w:rPr>
                <w:noProof/>
                <w:webHidden/>
              </w:rPr>
              <w:fldChar w:fldCharType="separate"/>
            </w:r>
            <w:r w:rsidR="00304E42">
              <w:rPr>
                <w:noProof/>
                <w:webHidden/>
              </w:rPr>
              <w:t>13</w:t>
            </w:r>
            <w:r w:rsidR="00304E42">
              <w:rPr>
                <w:noProof/>
                <w:webHidden/>
              </w:rPr>
              <w:fldChar w:fldCharType="end"/>
            </w:r>
          </w:hyperlink>
        </w:p>
        <w:p w:rsidR="00304E42" w:rsidRDefault="003C448D">
          <w:pPr>
            <w:pStyle w:val="Sumrio3"/>
            <w:tabs>
              <w:tab w:val="right" w:leader="dot" w:pos="9061"/>
            </w:tabs>
            <w:rPr>
              <w:rFonts w:asciiTheme="minorHAnsi" w:eastAsiaTheme="minorEastAsia" w:hAnsiTheme="minorHAnsi" w:cstheme="minorBidi"/>
              <w:noProof/>
              <w:sz w:val="22"/>
              <w:szCs w:val="22"/>
              <w:lang w:eastAsia="pt-BR"/>
            </w:rPr>
          </w:pPr>
          <w:hyperlink w:anchor="_Toc6842223" w:history="1">
            <w:r w:rsidR="00304E42" w:rsidRPr="00790A04">
              <w:rPr>
                <w:rStyle w:val="Hyperlink"/>
                <w:noProof/>
              </w:rPr>
              <w:t>4.2.4 Acasalamento</w:t>
            </w:r>
            <w:r w:rsidR="00304E42">
              <w:rPr>
                <w:noProof/>
                <w:webHidden/>
              </w:rPr>
              <w:tab/>
            </w:r>
            <w:r w:rsidR="00304E42">
              <w:rPr>
                <w:noProof/>
                <w:webHidden/>
              </w:rPr>
              <w:fldChar w:fldCharType="begin"/>
            </w:r>
            <w:r w:rsidR="00304E42">
              <w:rPr>
                <w:noProof/>
                <w:webHidden/>
              </w:rPr>
              <w:instrText xml:space="preserve"> PAGEREF _Toc6842223 \h </w:instrText>
            </w:r>
            <w:r w:rsidR="00304E42">
              <w:rPr>
                <w:noProof/>
                <w:webHidden/>
              </w:rPr>
            </w:r>
            <w:r w:rsidR="00304E42">
              <w:rPr>
                <w:noProof/>
                <w:webHidden/>
              </w:rPr>
              <w:fldChar w:fldCharType="separate"/>
            </w:r>
            <w:r w:rsidR="00304E42">
              <w:rPr>
                <w:noProof/>
                <w:webHidden/>
              </w:rPr>
              <w:t>14</w:t>
            </w:r>
            <w:r w:rsidR="00304E42">
              <w:rPr>
                <w:noProof/>
                <w:webHidden/>
              </w:rPr>
              <w:fldChar w:fldCharType="end"/>
            </w:r>
          </w:hyperlink>
        </w:p>
        <w:p w:rsidR="00304E42" w:rsidRDefault="003C448D">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6842224" w:history="1">
            <w:r w:rsidR="00304E42" w:rsidRPr="00790A04">
              <w:rPr>
                <w:rStyle w:val="Hyperlink"/>
                <w:noProof/>
              </w:rPr>
              <w:t>4.2.5</w:t>
            </w:r>
            <w:r w:rsidR="00304E42">
              <w:rPr>
                <w:rFonts w:asciiTheme="minorHAnsi" w:eastAsiaTheme="minorEastAsia" w:hAnsiTheme="minorHAnsi" w:cstheme="minorBidi"/>
                <w:noProof/>
                <w:sz w:val="22"/>
                <w:szCs w:val="22"/>
                <w:lang w:eastAsia="pt-BR"/>
              </w:rPr>
              <w:t xml:space="preserve"> </w:t>
            </w:r>
            <w:r w:rsidR="00304E42" w:rsidRPr="00790A04">
              <w:rPr>
                <w:rStyle w:val="Hyperlink"/>
                <w:noProof/>
              </w:rPr>
              <w:t>Eutanásia e avaliação dos machos</w:t>
            </w:r>
            <w:r w:rsidR="00304E42">
              <w:rPr>
                <w:noProof/>
                <w:webHidden/>
              </w:rPr>
              <w:tab/>
            </w:r>
            <w:r w:rsidR="00304E42">
              <w:rPr>
                <w:noProof/>
                <w:webHidden/>
              </w:rPr>
              <w:fldChar w:fldCharType="begin"/>
            </w:r>
            <w:r w:rsidR="00304E42">
              <w:rPr>
                <w:noProof/>
                <w:webHidden/>
              </w:rPr>
              <w:instrText xml:space="preserve"> PAGEREF _Toc6842224 \h </w:instrText>
            </w:r>
            <w:r w:rsidR="00304E42">
              <w:rPr>
                <w:noProof/>
                <w:webHidden/>
              </w:rPr>
            </w:r>
            <w:r w:rsidR="00304E42">
              <w:rPr>
                <w:noProof/>
                <w:webHidden/>
              </w:rPr>
              <w:fldChar w:fldCharType="separate"/>
            </w:r>
            <w:r w:rsidR="00304E42">
              <w:rPr>
                <w:noProof/>
                <w:webHidden/>
              </w:rPr>
              <w:t>15</w:t>
            </w:r>
            <w:r w:rsidR="00304E42">
              <w:rPr>
                <w:noProof/>
                <w:webHidden/>
              </w:rPr>
              <w:fldChar w:fldCharType="end"/>
            </w:r>
          </w:hyperlink>
        </w:p>
        <w:p w:rsidR="00304E42" w:rsidRDefault="003C448D">
          <w:pPr>
            <w:pStyle w:val="Sumrio3"/>
            <w:tabs>
              <w:tab w:val="right" w:leader="dot" w:pos="9061"/>
            </w:tabs>
            <w:rPr>
              <w:rFonts w:asciiTheme="minorHAnsi" w:eastAsiaTheme="minorEastAsia" w:hAnsiTheme="minorHAnsi" w:cstheme="minorBidi"/>
              <w:noProof/>
              <w:sz w:val="22"/>
              <w:szCs w:val="22"/>
              <w:lang w:eastAsia="pt-BR"/>
            </w:rPr>
          </w:pPr>
          <w:hyperlink w:anchor="_Toc6842225" w:history="1">
            <w:r w:rsidR="00304E42" w:rsidRPr="00790A04">
              <w:rPr>
                <w:rStyle w:val="Hyperlink"/>
                <w:noProof/>
              </w:rPr>
              <w:t>4.2.6 Lactação e comportamento maternal</w:t>
            </w:r>
            <w:r w:rsidR="00304E42">
              <w:rPr>
                <w:noProof/>
                <w:webHidden/>
              </w:rPr>
              <w:tab/>
            </w:r>
            <w:r w:rsidR="00304E42">
              <w:rPr>
                <w:noProof/>
                <w:webHidden/>
              </w:rPr>
              <w:fldChar w:fldCharType="begin"/>
            </w:r>
            <w:r w:rsidR="00304E42">
              <w:rPr>
                <w:noProof/>
                <w:webHidden/>
              </w:rPr>
              <w:instrText xml:space="preserve"> PAGEREF _Toc6842225 \h </w:instrText>
            </w:r>
            <w:r w:rsidR="00304E42">
              <w:rPr>
                <w:noProof/>
                <w:webHidden/>
              </w:rPr>
            </w:r>
            <w:r w:rsidR="00304E42">
              <w:rPr>
                <w:noProof/>
                <w:webHidden/>
              </w:rPr>
              <w:fldChar w:fldCharType="separate"/>
            </w:r>
            <w:r w:rsidR="00304E42">
              <w:rPr>
                <w:noProof/>
                <w:webHidden/>
              </w:rPr>
              <w:t>17</w:t>
            </w:r>
            <w:r w:rsidR="00304E42">
              <w:rPr>
                <w:noProof/>
                <w:webHidden/>
              </w:rPr>
              <w:fldChar w:fldCharType="end"/>
            </w:r>
          </w:hyperlink>
        </w:p>
        <w:p w:rsidR="00304E42" w:rsidRDefault="003C448D">
          <w:pPr>
            <w:pStyle w:val="Sumrio3"/>
            <w:tabs>
              <w:tab w:val="right" w:leader="dot" w:pos="9061"/>
            </w:tabs>
            <w:rPr>
              <w:rFonts w:asciiTheme="minorHAnsi" w:eastAsiaTheme="minorEastAsia" w:hAnsiTheme="minorHAnsi" w:cstheme="minorBidi"/>
              <w:noProof/>
              <w:sz w:val="22"/>
              <w:szCs w:val="22"/>
              <w:lang w:eastAsia="pt-BR"/>
            </w:rPr>
          </w:pPr>
          <w:hyperlink w:anchor="_Toc6842226" w:history="1">
            <w:r w:rsidR="00304E42" w:rsidRPr="00790A04">
              <w:rPr>
                <w:rStyle w:val="Hyperlink"/>
                <w:noProof/>
              </w:rPr>
              <w:t>4.2.7 Taxas Reprodutivas</w:t>
            </w:r>
            <w:r w:rsidR="00304E42">
              <w:rPr>
                <w:noProof/>
                <w:webHidden/>
              </w:rPr>
              <w:tab/>
            </w:r>
            <w:r w:rsidR="00304E42">
              <w:rPr>
                <w:noProof/>
                <w:webHidden/>
              </w:rPr>
              <w:fldChar w:fldCharType="begin"/>
            </w:r>
            <w:r w:rsidR="00304E42">
              <w:rPr>
                <w:noProof/>
                <w:webHidden/>
              </w:rPr>
              <w:instrText xml:space="preserve"> PAGEREF _Toc6842226 \h </w:instrText>
            </w:r>
            <w:r w:rsidR="00304E42">
              <w:rPr>
                <w:noProof/>
                <w:webHidden/>
              </w:rPr>
            </w:r>
            <w:r w:rsidR="00304E42">
              <w:rPr>
                <w:noProof/>
                <w:webHidden/>
              </w:rPr>
              <w:fldChar w:fldCharType="separate"/>
            </w:r>
            <w:r w:rsidR="00304E42">
              <w:rPr>
                <w:noProof/>
                <w:webHidden/>
              </w:rPr>
              <w:t>17</w:t>
            </w:r>
            <w:r w:rsidR="00304E42">
              <w:rPr>
                <w:noProof/>
                <w:webHidden/>
              </w:rPr>
              <w:fldChar w:fldCharType="end"/>
            </w:r>
          </w:hyperlink>
        </w:p>
        <w:p w:rsidR="00304E42" w:rsidRDefault="003C448D">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6842228" w:history="1">
            <w:r w:rsidR="00FD322F">
              <w:rPr>
                <w:rStyle w:val="Hyperlink"/>
                <w:noProof/>
              </w:rPr>
              <w:t>4.2.8</w:t>
            </w:r>
            <w:r w:rsidR="00304E42">
              <w:rPr>
                <w:rFonts w:asciiTheme="minorHAnsi" w:eastAsiaTheme="minorEastAsia" w:hAnsiTheme="minorHAnsi" w:cstheme="minorBidi"/>
                <w:noProof/>
                <w:sz w:val="22"/>
                <w:szCs w:val="22"/>
                <w:lang w:eastAsia="pt-BR"/>
              </w:rPr>
              <w:t xml:space="preserve"> </w:t>
            </w:r>
            <w:r w:rsidR="00304E42" w:rsidRPr="00790A04">
              <w:rPr>
                <w:rStyle w:val="Hyperlink"/>
                <w:noProof/>
              </w:rPr>
              <w:t>Variáveis Avaliadas</w:t>
            </w:r>
            <w:r w:rsidR="00304E42">
              <w:rPr>
                <w:noProof/>
                <w:webHidden/>
              </w:rPr>
              <w:tab/>
            </w:r>
            <w:r w:rsidR="00304E42">
              <w:rPr>
                <w:noProof/>
                <w:webHidden/>
              </w:rPr>
              <w:fldChar w:fldCharType="begin"/>
            </w:r>
            <w:r w:rsidR="00304E42">
              <w:rPr>
                <w:noProof/>
                <w:webHidden/>
              </w:rPr>
              <w:instrText xml:space="preserve"> PAGEREF _Toc6842228 \h </w:instrText>
            </w:r>
            <w:r w:rsidR="00304E42">
              <w:rPr>
                <w:noProof/>
                <w:webHidden/>
              </w:rPr>
            </w:r>
            <w:r w:rsidR="00304E42">
              <w:rPr>
                <w:noProof/>
                <w:webHidden/>
              </w:rPr>
              <w:fldChar w:fldCharType="separate"/>
            </w:r>
            <w:r w:rsidR="00304E42">
              <w:rPr>
                <w:noProof/>
                <w:webHidden/>
              </w:rPr>
              <w:t>21</w:t>
            </w:r>
            <w:r w:rsidR="00304E42">
              <w:rPr>
                <w:noProof/>
                <w:webHidden/>
              </w:rPr>
              <w:fldChar w:fldCharType="end"/>
            </w:r>
          </w:hyperlink>
        </w:p>
        <w:p w:rsidR="00304E42" w:rsidRDefault="003C448D">
          <w:pPr>
            <w:pStyle w:val="Sumrio2"/>
            <w:tabs>
              <w:tab w:val="right" w:leader="dot" w:pos="9061"/>
            </w:tabs>
            <w:rPr>
              <w:rFonts w:asciiTheme="minorHAnsi" w:eastAsiaTheme="minorEastAsia" w:hAnsiTheme="minorHAnsi" w:cstheme="minorBidi"/>
              <w:noProof/>
              <w:sz w:val="22"/>
              <w:szCs w:val="22"/>
              <w:lang w:eastAsia="pt-BR"/>
            </w:rPr>
          </w:pPr>
          <w:hyperlink w:anchor="_Toc6842229" w:history="1">
            <w:r w:rsidR="00304E42" w:rsidRPr="00790A04">
              <w:rPr>
                <w:rStyle w:val="Hyperlink"/>
                <w:noProof/>
              </w:rPr>
              <w:t>4.3 Resultados e Análise Estatística</w:t>
            </w:r>
            <w:r w:rsidR="00304E42">
              <w:rPr>
                <w:noProof/>
                <w:webHidden/>
              </w:rPr>
              <w:tab/>
            </w:r>
            <w:r w:rsidR="00304E42">
              <w:rPr>
                <w:noProof/>
                <w:webHidden/>
              </w:rPr>
              <w:fldChar w:fldCharType="begin"/>
            </w:r>
            <w:r w:rsidR="00304E42">
              <w:rPr>
                <w:noProof/>
                <w:webHidden/>
              </w:rPr>
              <w:instrText xml:space="preserve"> PAGEREF _Toc6842229 \h </w:instrText>
            </w:r>
            <w:r w:rsidR="00304E42">
              <w:rPr>
                <w:noProof/>
                <w:webHidden/>
              </w:rPr>
            </w:r>
            <w:r w:rsidR="00304E42">
              <w:rPr>
                <w:noProof/>
                <w:webHidden/>
              </w:rPr>
              <w:fldChar w:fldCharType="separate"/>
            </w:r>
            <w:r w:rsidR="00304E42">
              <w:rPr>
                <w:noProof/>
                <w:webHidden/>
              </w:rPr>
              <w:t>22</w:t>
            </w:r>
            <w:r w:rsidR="00304E42">
              <w:rPr>
                <w:noProof/>
                <w:webHidden/>
              </w:rPr>
              <w:fldChar w:fldCharType="end"/>
            </w:r>
          </w:hyperlink>
        </w:p>
        <w:p w:rsidR="00304E42" w:rsidRDefault="003C448D">
          <w:pPr>
            <w:pStyle w:val="Sumrio2"/>
            <w:tabs>
              <w:tab w:val="right" w:leader="dot" w:pos="9061"/>
            </w:tabs>
            <w:rPr>
              <w:rFonts w:asciiTheme="minorHAnsi" w:eastAsiaTheme="minorEastAsia" w:hAnsiTheme="minorHAnsi" w:cstheme="minorBidi"/>
              <w:noProof/>
              <w:sz w:val="22"/>
              <w:szCs w:val="22"/>
              <w:lang w:eastAsia="pt-BR"/>
            </w:rPr>
          </w:pPr>
          <w:hyperlink w:anchor="_Toc6842230" w:history="1">
            <w:r w:rsidR="00304E42" w:rsidRPr="00790A04">
              <w:rPr>
                <w:rStyle w:val="Hyperlink"/>
                <w:noProof/>
              </w:rPr>
              <w:t>4.4 Conduta com Animais, Ponto Final Humanitário e Classificação da Severidade dos Procedimentos</w:t>
            </w:r>
            <w:r w:rsidR="00304E42">
              <w:rPr>
                <w:noProof/>
                <w:webHidden/>
              </w:rPr>
              <w:tab/>
            </w:r>
            <w:r w:rsidR="00304E42">
              <w:rPr>
                <w:noProof/>
                <w:webHidden/>
              </w:rPr>
              <w:fldChar w:fldCharType="begin"/>
            </w:r>
            <w:r w:rsidR="00304E42">
              <w:rPr>
                <w:noProof/>
                <w:webHidden/>
              </w:rPr>
              <w:instrText xml:space="preserve"> PAGEREF _Toc6842230 \h </w:instrText>
            </w:r>
            <w:r w:rsidR="00304E42">
              <w:rPr>
                <w:noProof/>
                <w:webHidden/>
              </w:rPr>
            </w:r>
            <w:r w:rsidR="00304E42">
              <w:rPr>
                <w:noProof/>
                <w:webHidden/>
              </w:rPr>
              <w:fldChar w:fldCharType="separate"/>
            </w:r>
            <w:r w:rsidR="00304E42">
              <w:rPr>
                <w:noProof/>
                <w:webHidden/>
              </w:rPr>
              <w:t>23</w:t>
            </w:r>
            <w:r w:rsidR="00304E42">
              <w:rPr>
                <w:noProof/>
                <w:webHidden/>
              </w:rPr>
              <w:fldChar w:fldCharType="end"/>
            </w:r>
          </w:hyperlink>
        </w:p>
        <w:p w:rsidR="00304E42" w:rsidRDefault="003C448D" w:rsidP="00304E42">
          <w:pPr>
            <w:pStyle w:val="Sumrio1"/>
            <w:rPr>
              <w:rFonts w:asciiTheme="minorHAnsi" w:eastAsiaTheme="minorEastAsia" w:hAnsiTheme="minorHAnsi" w:cstheme="minorBidi"/>
              <w:noProof/>
              <w:sz w:val="22"/>
              <w:szCs w:val="22"/>
              <w:lang w:eastAsia="pt-BR"/>
            </w:rPr>
          </w:pPr>
          <w:hyperlink w:anchor="_Toc6842231" w:history="1">
            <w:r w:rsidR="00304E42" w:rsidRPr="00790A04">
              <w:rPr>
                <w:rStyle w:val="Hyperlink"/>
                <w:noProof/>
              </w:rPr>
              <w:t>5 DESCARTE DE RESÍDUOS QUÍMICOS E BIOLÓGICOS</w:t>
            </w:r>
            <w:r w:rsidR="00304E42">
              <w:rPr>
                <w:noProof/>
                <w:webHidden/>
              </w:rPr>
              <w:tab/>
            </w:r>
            <w:r w:rsidR="00304E42">
              <w:rPr>
                <w:noProof/>
                <w:webHidden/>
              </w:rPr>
              <w:fldChar w:fldCharType="begin"/>
            </w:r>
            <w:r w:rsidR="00304E42">
              <w:rPr>
                <w:noProof/>
                <w:webHidden/>
              </w:rPr>
              <w:instrText xml:space="preserve"> PAGEREF _Toc6842231 \h </w:instrText>
            </w:r>
            <w:r w:rsidR="00304E42">
              <w:rPr>
                <w:noProof/>
                <w:webHidden/>
              </w:rPr>
            </w:r>
            <w:r w:rsidR="00304E42">
              <w:rPr>
                <w:noProof/>
                <w:webHidden/>
              </w:rPr>
              <w:fldChar w:fldCharType="separate"/>
            </w:r>
            <w:r w:rsidR="00304E42">
              <w:rPr>
                <w:noProof/>
                <w:webHidden/>
              </w:rPr>
              <w:t>26</w:t>
            </w:r>
            <w:r w:rsidR="00304E42">
              <w:rPr>
                <w:noProof/>
                <w:webHidden/>
              </w:rPr>
              <w:fldChar w:fldCharType="end"/>
            </w:r>
          </w:hyperlink>
        </w:p>
        <w:p w:rsidR="00304E42" w:rsidRDefault="003C448D" w:rsidP="00304E42">
          <w:pPr>
            <w:pStyle w:val="Sumrio1"/>
            <w:rPr>
              <w:rFonts w:asciiTheme="minorHAnsi" w:eastAsiaTheme="minorEastAsia" w:hAnsiTheme="minorHAnsi" w:cstheme="minorBidi"/>
              <w:noProof/>
              <w:sz w:val="22"/>
              <w:szCs w:val="22"/>
              <w:lang w:eastAsia="pt-BR"/>
            </w:rPr>
          </w:pPr>
          <w:hyperlink w:anchor="_Toc6842232" w:history="1">
            <w:r w:rsidR="00304E42" w:rsidRPr="00790A04">
              <w:rPr>
                <w:rStyle w:val="Hyperlink"/>
                <w:noProof/>
              </w:rPr>
              <w:t>6 CRONOGRAMA DE ATIVIDADES</w:t>
            </w:r>
            <w:r w:rsidR="00304E42">
              <w:rPr>
                <w:noProof/>
                <w:webHidden/>
              </w:rPr>
              <w:tab/>
            </w:r>
            <w:r w:rsidR="00304E42">
              <w:rPr>
                <w:noProof/>
                <w:webHidden/>
              </w:rPr>
              <w:fldChar w:fldCharType="begin"/>
            </w:r>
            <w:r w:rsidR="00304E42">
              <w:rPr>
                <w:noProof/>
                <w:webHidden/>
              </w:rPr>
              <w:instrText xml:space="preserve"> PAGEREF _Toc6842232 \h </w:instrText>
            </w:r>
            <w:r w:rsidR="00304E42">
              <w:rPr>
                <w:noProof/>
                <w:webHidden/>
              </w:rPr>
            </w:r>
            <w:r w:rsidR="00304E42">
              <w:rPr>
                <w:noProof/>
                <w:webHidden/>
              </w:rPr>
              <w:fldChar w:fldCharType="separate"/>
            </w:r>
            <w:r w:rsidR="00304E42">
              <w:rPr>
                <w:noProof/>
                <w:webHidden/>
              </w:rPr>
              <w:t>26</w:t>
            </w:r>
            <w:r w:rsidR="00304E42">
              <w:rPr>
                <w:noProof/>
                <w:webHidden/>
              </w:rPr>
              <w:fldChar w:fldCharType="end"/>
            </w:r>
          </w:hyperlink>
        </w:p>
        <w:p w:rsidR="00304E42" w:rsidRDefault="003C448D" w:rsidP="00304E42">
          <w:pPr>
            <w:pStyle w:val="Sumrio1"/>
            <w:rPr>
              <w:rFonts w:asciiTheme="minorHAnsi" w:eastAsiaTheme="minorEastAsia" w:hAnsiTheme="minorHAnsi" w:cstheme="minorBidi"/>
              <w:noProof/>
              <w:sz w:val="22"/>
              <w:szCs w:val="22"/>
              <w:lang w:eastAsia="pt-BR"/>
            </w:rPr>
          </w:pPr>
          <w:hyperlink w:anchor="_Toc6842233" w:history="1">
            <w:r w:rsidR="00304E42" w:rsidRPr="00790A04">
              <w:rPr>
                <w:rStyle w:val="Hyperlink"/>
                <w:noProof/>
              </w:rPr>
              <w:t>7 ORÇAMENTO</w:t>
            </w:r>
            <w:r w:rsidR="00304E42">
              <w:rPr>
                <w:noProof/>
                <w:webHidden/>
              </w:rPr>
              <w:tab/>
            </w:r>
            <w:r w:rsidR="00304E42">
              <w:rPr>
                <w:noProof/>
                <w:webHidden/>
              </w:rPr>
              <w:fldChar w:fldCharType="begin"/>
            </w:r>
            <w:r w:rsidR="00304E42">
              <w:rPr>
                <w:noProof/>
                <w:webHidden/>
              </w:rPr>
              <w:instrText xml:space="preserve"> PAGEREF _Toc6842233 \h </w:instrText>
            </w:r>
            <w:r w:rsidR="00304E42">
              <w:rPr>
                <w:noProof/>
                <w:webHidden/>
              </w:rPr>
            </w:r>
            <w:r w:rsidR="00304E42">
              <w:rPr>
                <w:noProof/>
                <w:webHidden/>
              </w:rPr>
              <w:fldChar w:fldCharType="separate"/>
            </w:r>
            <w:r w:rsidR="00304E42">
              <w:rPr>
                <w:noProof/>
                <w:webHidden/>
              </w:rPr>
              <w:t>27</w:t>
            </w:r>
            <w:r w:rsidR="00304E42">
              <w:rPr>
                <w:noProof/>
                <w:webHidden/>
              </w:rPr>
              <w:fldChar w:fldCharType="end"/>
            </w:r>
          </w:hyperlink>
        </w:p>
        <w:p w:rsidR="00304E42" w:rsidRDefault="003C448D" w:rsidP="00304E42">
          <w:pPr>
            <w:pStyle w:val="Sumrio1"/>
            <w:rPr>
              <w:rFonts w:asciiTheme="minorHAnsi" w:eastAsiaTheme="minorEastAsia" w:hAnsiTheme="minorHAnsi" w:cstheme="minorBidi"/>
              <w:noProof/>
              <w:sz w:val="22"/>
              <w:szCs w:val="22"/>
              <w:lang w:eastAsia="pt-BR"/>
            </w:rPr>
          </w:pPr>
          <w:hyperlink w:anchor="_Toc6842234" w:history="1">
            <w:r w:rsidR="00304E42" w:rsidRPr="00790A04">
              <w:rPr>
                <w:rStyle w:val="Hyperlink"/>
                <w:rFonts w:cs="Arial"/>
                <w:noProof/>
              </w:rPr>
              <w:t>REFERÊNCIAS</w:t>
            </w:r>
            <w:r w:rsidR="00304E42">
              <w:rPr>
                <w:noProof/>
                <w:webHidden/>
              </w:rPr>
              <w:tab/>
            </w:r>
            <w:r w:rsidR="00304E42">
              <w:rPr>
                <w:noProof/>
                <w:webHidden/>
              </w:rPr>
              <w:fldChar w:fldCharType="begin"/>
            </w:r>
            <w:r w:rsidR="00304E42">
              <w:rPr>
                <w:noProof/>
                <w:webHidden/>
              </w:rPr>
              <w:instrText xml:space="preserve"> PAGEREF _Toc6842234 \h </w:instrText>
            </w:r>
            <w:r w:rsidR="00304E42">
              <w:rPr>
                <w:noProof/>
                <w:webHidden/>
              </w:rPr>
            </w:r>
            <w:r w:rsidR="00304E42">
              <w:rPr>
                <w:noProof/>
                <w:webHidden/>
              </w:rPr>
              <w:fldChar w:fldCharType="separate"/>
            </w:r>
            <w:r w:rsidR="00304E42">
              <w:rPr>
                <w:noProof/>
                <w:webHidden/>
              </w:rPr>
              <w:t>28</w:t>
            </w:r>
            <w:r w:rsidR="00304E42">
              <w:rPr>
                <w:noProof/>
                <w:webHidden/>
              </w:rPr>
              <w:fldChar w:fldCharType="end"/>
            </w:r>
          </w:hyperlink>
        </w:p>
        <w:p w:rsidR="00464F34" w:rsidRDefault="00464F34" w:rsidP="00464F34">
          <w:pPr>
            <w:spacing w:line="240" w:lineRule="auto"/>
          </w:pPr>
          <w:r>
            <w:fldChar w:fldCharType="end"/>
          </w:r>
        </w:p>
      </w:sdtContent>
    </w:sdt>
    <w:p w:rsidR="005F5369" w:rsidRPr="006D37B1" w:rsidRDefault="00236BDB" w:rsidP="006D37B1">
      <w:pPr>
        <w:pStyle w:val="Ttulo1"/>
        <w:rPr>
          <w:rStyle w:val="Ttulo1Char"/>
          <w:b/>
        </w:rPr>
      </w:pPr>
      <w:r>
        <w:rPr>
          <w:rFonts w:eastAsia="Arial" w:cs="Arial"/>
          <w:szCs w:val="24"/>
        </w:rPr>
        <w:br w:type="page"/>
      </w:r>
      <w:bookmarkStart w:id="1" w:name="_Toc6842201"/>
      <w:r w:rsidR="006D37B1">
        <w:lastRenderedPageBreak/>
        <w:t xml:space="preserve">1 </w:t>
      </w:r>
      <w:r w:rsidR="005F5369" w:rsidRPr="006D37B1">
        <w:rPr>
          <w:rStyle w:val="Ttulo1Char"/>
          <w:b/>
        </w:rPr>
        <w:t>DADOS DO PROJETO DE PESQUISA</w:t>
      </w:r>
      <w:bookmarkEnd w:id="1"/>
    </w:p>
    <w:p w:rsidR="005F5369" w:rsidRPr="00011AF1" w:rsidRDefault="00244E44" w:rsidP="00011AF1">
      <w:pPr>
        <w:pStyle w:val="Ttulo2"/>
      </w:pPr>
      <w:bookmarkStart w:id="2" w:name="_Toc6842202"/>
      <w:r w:rsidRPr="00011AF1">
        <w:t xml:space="preserve">1.1 </w:t>
      </w:r>
      <w:r w:rsidR="005F5369" w:rsidRPr="00011AF1">
        <w:t>Instituição</w:t>
      </w:r>
      <w:bookmarkEnd w:id="2"/>
    </w:p>
    <w:p w:rsidR="005F5369" w:rsidRDefault="006C1919" w:rsidP="00011AF1">
      <w:pPr>
        <w:jc w:val="both"/>
        <w:rPr>
          <w:rFonts w:eastAsia="Arial" w:cs="Arial"/>
          <w:szCs w:val="24"/>
        </w:rPr>
      </w:pPr>
      <w:r w:rsidRPr="00EB31A5">
        <w:rPr>
          <w:rFonts w:eastAsia="Arial" w:cs="Arial"/>
          <w:szCs w:val="24"/>
        </w:rPr>
        <w:tab/>
      </w:r>
      <w:r w:rsidR="005F5369" w:rsidRPr="00EB31A5">
        <w:rPr>
          <w:rFonts w:eastAsia="Arial" w:cs="Arial"/>
          <w:szCs w:val="24"/>
        </w:rPr>
        <w:t>Universidade Federal do Rio Grande do Sul (UFRGS), Faculdade de</w:t>
      </w:r>
      <w:r w:rsidR="00033ABB" w:rsidRPr="00EB31A5">
        <w:rPr>
          <w:rFonts w:eastAsia="Arial" w:cs="Arial"/>
          <w:szCs w:val="24"/>
        </w:rPr>
        <w:t xml:space="preserve"> </w:t>
      </w:r>
      <w:r w:rsidR="004248D6" w:rsidRPr="00EB31A5">
        <w:rPr>
          <w:rFonts w:eastAsia="Arial" w:cs="Arial"/>
          <w:szCs w:val="24"/>
        </w:rPr>
        <w:t>v</w:t>
      </w:r>
      <w:r w:rsidR="00432724" w:rsidRPr="00EB31A5">
        <w:rPr>
          <w:rFonts w:eastAsia="Arial" w:cs="Arial"/>
          <w:szCs w:val="24"/>
        </w:rPr>
        <w:t xml:space="preserve">eterinária, </w:t>
      </w:r>
      <w:r w:rsidR="005F5369" w:rsidRPr="00EB31A5">
        <w:rPr>
          <w:rFonts w:eastAsia="Arial" w:cs="Arial"/>
          <w:szCs w:val="24"/>
        </w:rPr>
        <w:t>Programa de Pós-Graduação em Ciências Veterinárias.</w:t>
      </w:r>
    </w:p>
    <w:p w:rsidR="006D37B1" w:rsidRPr="00EB31A5" w:rsidRDefault="006D37B1" w:rsidP="00011AF1">
      <w:pPr>
        <w:jc w:val="both"/>
        <w:rPr>
          <w:rFonts w:eastAsia="Arial" w:cs="Arial"/>
          <w:szCs w:val="24"/>
        </w:rPr>
      </w:pPr>
    </w:p>
    <w:p w:rsidR="005F5369" w:rsidRPr="00011AF1" w:rsidRDefault="006D37B1" w:rsidP="00011AF1">
      <w:pPr>
        <w:pStyle w:val="Ttulo2"/>
      </w:pPr>
      <w:bookmarkStart w:id="3" w:name="_Toc6842203"/>
      <w:r>
        <w:t xml:space="preserve">1.2 </w:t>
      </w:r>
      <w:r w:rsidR="005F5369" w:rsidRPr="00011AF1">
        <w:t>Pesquisador Responsável</w:t>
      </w:r>
      <w:bookmarkEnd w:id="3"/>
    </w:p>
    <w:p w:rsidR="00011AF1" w:rsidRDefault="006C1919" w:rsidP="00011AF1">
      <w:pPr>
        <w:jc w:val="both"/>
        <w:rPr>
          <w:rFonts w:eastAsia="Arial" w:cs="Arial"/>
          <w:szCs w:val="24"/>
        </w:rPr>
      </w:pPr>
      <w:r w:rsidRPr="00EB31A5">
        <w:rPr>
          <w:rFonts w:eastAsia="Arial" w:cs="Arial"/>
          <w:szCs w:val="24"/>
        </w:rPr>
        <w:tab/>
      </w:r>
      <w:r w:rsidR="005F5369" w:rsidRPr="00EB31A5">
        <w:rPr>
          <w:rFonts w:eastAsia="Arial" w:cs="Arial"/>
          <w:szCs w:val="24"/>
        </w:rPr>
        <w:t>João Roberto Braga de Mello. Professor Titular do Departamento de</w:t>
      </w:r>
      <w:r w:rsidR="00033ABB" w:rsidRPr="00EB31A5">
        <w:rPr>
          <w:rFonts w:eastAsia="Arial" w:cs="Arial"/>
          <w:szCs w:val="24"/>
        </w:rPr>
        <w:t xml:space="preserve"> </w:t>
      </w:r>
      <w:r w:rsidR="005F5369" w:rsidRPr="00EB31A5">
        <w:rPr>
          <w:rFonts w:eastAsia="Arial" w:cs="Arial"/>
          <w:szCs w:val="24"/>
        </w:rPr>
        <w:t>Farmacologia do Instituto de Ciências Básicas da Saúde, UFRGS.</w:t>
      </w:r>
    </w:p>
    <w:p w:rsidR="006D37B1" w:rsidRDefault="006D37B1" w:rsidP="00011AF1">
      <w:pPr>
        <w:jc w:val="both"/>
        <w:rPr>
          <w:rFonts w:eastAsia="Arial" w:cs="Arial"/>
          <w:szCs w:val="24"/>
        </w:rPr>
      </w:pPr>
    </w:p>
    <w:p w:rsidR="005F5369" w:rsidRPr="00011AF1" w:rsidRDefault="006D37B1" w:rsidP="00011AF1">
      <w:pPr>
        <w:pStyle w:val="Ttulo2"/>
      </w:pPr>
      <w:bookmarkStart w:id="4" w:name="_Toc6842204"/>
      <w:r>
        <w:t xml:space="preserve">1.3 </w:t>
      </w:r>
      <w:r w:rsidR="005F5369" w:rsidRPr="00011AF1">
        <w:t>Colaboradores</w:t>
      </w:r>
      <w:bookmarkEnd w:id="4"/>
    </w:p>
    <w:p w:rsidR="005F5369" w:rsidRPr="00EB31A5" w:rsidRDefault="006C1919" w:rsidP="00011AF1">
      <w:pPr>
        <w:jc w:val="both"/>
        <w:rPr>
          <w:rFonts w:eastAsia="Arial" w:cs="Arial"/>
          <w:szCs w:val="24"/>
        </w:rPr>
      </w:pPr>
      <w:r w:rsidRPr="00EB31A5">
        <w:rPr>
          <w:rFonts w:eastAsia="Arial" w:cs="Arial"/>
          <w:szCs w:val="24"/>
        </w:rPr>
        <w:tab/>
      </w:r>
      <w:r w:rsidR="005F5369" w:rsidRPr="00EB31A5">
        <w:rPr>
          <w:rFonts w:eastAsia="Arial" w:cs="Arial"/>
          <w:szCs w:val="24"/>
        </w:rPr>
        <w:t xml:space="preserve">Mário Carlos </w:t>
      </w:r>
      <w:proofErr w:type="spellStart"/>
      <w:r w:rsidR="005F5369" w:rsidRPr="00EB31A5">
        <w:rPr>
          <w:rFonts w:eastAsia="Arial" w:cs="Arial"/>
          <w:szCs w:val="24"/>
        </w:rPr>
        <w:t>Araujo</w:t>
      </w:r>
      <w:proofErr w:type="spellEnd"/>
      <w:r w:rsidR="005F5369" w:rsidRPr="00EB31A5">
        <w:rPr>
          <w:rFonts w:eastAsia="Arial" w:cs="Arial"/>
          <w:szCs w:val="24"/>
        </w:rPr>
        <w:t xml:space="preserve"> Meireles, Dr. Professor Titular – </w:t>
      </w:r>
      <w:r w:rsidR="00697D17" w:rsidRPr="00EB31A5">
        <w:rPr>
          <w:rFonts w:eastAsia="Arial" w:cs="Arial"/>
          <w:szCs w:val="24"/>
        </w:rPr>
        <w:t>Departamento de</w:t>
      </w:r>
      <w:r w:rsidR="005F5369" w:rsidRPr="00EB31A5">
        <w:rPr>
          <w:rFonts w:eastAsia="Arial" w:cs="Arial"/>
          <w:szCs w:val="24"/>
        </w:rPr>
        <w:t xml:space="preserve"> Veterinária</w:t>
      </w:r>
      <w:r w:rsidR="00033ABB" w:rsidRPr="00EB31A5">
        <w:rPr>
          <w:rFonts w:eastAsia="Arial" w:cs="Arial"/>
          <w:szCs w:val="24"/>
        </w:rPr>
        <w:t xml:space="preserve"> </w:t>
      </w:r>
      <w:r w:rsidR="005F5369" w:rsidRPr="00EB31A5">
        <w:rPr>
          <w:rFonts w:eastAsia="Arial" w:cs="Arial"/>
          <w:szCs w:val="24"/>
        </w:rPr>
        <w:t xml:space="preserve">Preventiva – Faculdade de Veterinária – </w:t>
      </w:r>
      <w:proofErr w:type="spellStart"/>
      <w:r w:rsidR="005F5369" w:rsidRPr="00EB31A5">
        <w:rPr>
          <w:rFonts w:eastAsia="Arial" w:cs="Arial"/>
          <w:szCs w:val="24"/>
        </w:rPr>
        <w:t>UFPel</w:t>
      </w:r>
      <w:proofErr w:type="spellEnd"/>
    </w:p>
    <w:p w:rsidR="005F5369" w:rsidRPr="00EB31A5" w:rsidRDefault="006C1919" w:rsidP="00011AF1">
      <w:pPr>
        <w:jc w:val="both"/>
        <w:rPr>
          <w:rFonts w:eastAsia="Arial" w:cs="Arial"/>
          <w:szCs w:val="24"/>
        </w:rPr>
      </w:pPr>
      <w:r w:rsidRPr="00EB31A5">
        <w:rPr>
          <w:rFonts w:eastAsia="Arial" w:cs="Arial"/>
          <w:szCs w:val="24"/>
        </w:rPr>
        <w:tab/>
      </w:r>
      <w:r w:rsidR="005F5369" w:rsidRPr="00EB31A5">
        <w:rPr>
          <w:rFonts w:eastAsia="Arial" w:cs="Arial"/>
          <w:szCs w:val="24"/>
        </w:rPr>
        <w:t xml:space="preserve">Márcia </w:t>
      </w:r>
      <w:proofErr w:type="spellStart"/>
      <w:r w:rsidR="005F5369" w:rsidRPr="00EB31A5">
        <w:rPr>
          <w:rFonts w:eastAsia="Arial" w:cs="Arial"/>
          <w:szCs w:val="24"/>
        </w:rPr>
        <w:t>Kutscher</w:t>
      </w:r>
      <w:proofErr w:type="spellEnd"/>
      <w:r w:rsidR="005F5369" w:rsidRPr="00EB31A5">
        <w:rPr>
          <w:rFonts w:eastAsia="Arial" w:cs="Arial"/>
          <w:szCs w:val="24"/>
        </w:rPr>
        <w:t xml:space="preserve"> </w:t>
      </w:r>
      <w:proofErr w:type="spellStart"/>
      <w:r w:rsidR="005F5369" w:rsidRPr="00EB31A5">
        <w:rPr>
          <w:rFonts w:eastAsia="Arial" w:cs="Arial"/>
          <w:szCs w:val="24"/>
        </w:rPr>
        <w:t>Ripoll</w:t>
      </w:r>
      <w:proofErr w:type="spellEnd"/>
      <w:r w:rsidR="005F5369" w:rsidRPr="00EB31A5">
        <w:rPr>
          <w:rFonts w:eastAsia="Arial" w:cs="Arial"/>
          <w:szCs w:val="24"/>
        </w:rPr>
        <w:t>, Mestranda no Programa de Pós-graduação em</w:t>
      </w:r>
      <w:r w:rsidR="00033ABB" w:rsidRPr="00EB31A5">
        <w:rPr>
          <w:rFonts w:eastAsia="Arial" w:cs="Arial"/>
          <w:szCs w:val="24"/>
        </w:rPr>
        <w:t xml:space="preserve"> </w:t>
      </w:r>
      <w:r w:rsidR="005F5369" w:rsidRPr="00EB31A5">
        <w:rPr>
          <w:rFonts w:eastAsia="Arial" w:cs="Arial"/>
          <w:szCs w:val="24"/>
        </w:rPr>
        <w:t>Ciências Veterinárias – PPGCV – UFRGS.</w:t>
      </w:r>
    </w:p>
    <w:p w:rsidR="005F5369" w:rsidRPr="00EB31A5" w:rsidRDefault="006C1919" w:rsidP="00011AF1">
      <w:pPr>
        <w:jc w:val="both"/>
        <w:rPr>
          <w:rFonts w:eastAsia="Arial" w:cs="Arial"/>
          <w:szCs w:val="24"/>
        </w:rPr>
      </w:pPr>
      <w:r w:rsidRPr="00EB31A5">
        <w:rPr>
          <w:rFonts w:eastAsia="Arial" w:cs="Arial"/>
          <w:szCs w:val="24"/>
        </w:rPr>
        <w:tab/>
      </w:r>
      <w:r w:rsidR="005F5369" w:rsidRPr="00EB31A5">
        <w:rPr>
          <w:rFonts w:eastAsia="Arial" w:cs="Arial"/>
          <w:szCs w:val="24"/>
        </w:rPr>
        <w:t xml:space="preserve">André Luiz </w:t>
      </w:r>
      <w:proofErr w:type="spellStart"/>
      <w:r w:rsidR="005F5369" w:rsidRPr="00EB31A5">
        <w:rPr>
          <w:rFonts w:eastAsia="Arial" w:cs="Arial"/>
          <w:szCs w:val="24"/>
        </w:rPr>
        <w:t>Lucero</w:t>
      </w:r>
      <w:proofErr w:type="spellEnd"/>
      <w:r w:rsidR="005F5369" w:rsidRPr="00EB31A5">
        <w:rPr>
          <w:rFonts w:eastAsia="Arial" w:cs="Arial"/>
          <w:szCs w:val="24"/>
        </w:rPr>
        <w:t xml:space="preserve"> Batista, Mestrando no Programa de Pós-graduação em</w:t>
      </w:r>
      <w:r w:rsidR="00033ABB" w:rsidRPr="00EB31A5">
        <w:rPr>
          <w:rFonts w:eastAsia="Arial" w:cs="Arial"/>
          <w:szCs w:val="24"/>
        </w:rPr>
        <w:t xml:space="preserve"> </w:t>
      </w:r>
      <w:r w:rsidR="005F5369" w:rsidRPr="00EB31A5">
        <w:rPr>
          <w:rFonts w:eastAsia="Arial" w:cs="Arial"/>
          <w:szCs w:val="24"/>
        </w:rPr>
        <w:t>Ciências Veterinárias – PPGCV – UFRGS.</w:t>
      </w:r>
    </w:p>
    <w:p w:rsidR="005F5369" w:rsidRPr="00EB31A5" w:rsidRDefault="006C1919" w:rsidP="00011AF1">
      <w:pPr>
        <w:jc w:val="both"/>
        <w:rPr>
          <w:rFonts w:eastAsia="Arial" w:cs="Arial"/>
          <w:szCs w:val="24"/>
        </w:rPr>
      </w:pPr>
      <w:r w:rsidRPr="00EB31A5">
        <w:rPr>
          <w:rFonts w:eastAsia="Arial" w:cs="Arial"/>
          <w:szCs w:val="24"/>
        </w:rPr>
        <w:tab/>
      </w:r>
      <w:r w:rsidR="005F5369" w:rsidRPr="00EB31A5">
        <w:rPr>
          <w:rFonts w:eastAsia="Arial" w:cs="Arial"/>
          <w:szCs w:val="24"/>
        </w:rPr>
        <w:t xml:space="preserve">Fernanda Bastos de Mello, </w:t>
      </w:r>
      <w:proofErr w:type="spellStart"/>
      <w:r w:rsidR="005F5369" w:rsidRPr="00EB31A5">
        <w:rPr>
          <w:rFonts w:eastAsia="Arial" w:cs="Arial"/>
          <w:szCs w:val="24"/>
        </w:rPr>
        <w:t>Drª</w:t>
      </w:r>
      <w:proofErr w:type="spellEnd"/>
      <w:r w:rsidR="005F5369" w:rsidRPr="00EB31A5">
        <w:rPr>
          <w:rFonts w:eastAsia="Arial" w:cs="Arial"/>
          <w:szCs w:val="24"/>
        </w:rPr>
        <w:t>. Professora Adjunta III, UFCSPA. Médica</w:t>
      </w:r>
      <w:r w:rsidR="00033ABB" w:rsidRPr="00EB31A5">
        <w:rPr>
          <w:rFonts w:eastAsia="Arial" w:cs="Arial"/>
          <w:szCs w:val="24"/>
        </w:rPr>
        <w:t xml:space="preserve"> </w:t>
      </w:r>
      <w:r w:rsidR="005F5369" w:rsidRPr="00EB31A5">
        <w:rPr>
          <w:rFonts w:eastAsia="Arial" w:cs="Arial"/>
          <w:szCs w:val="24"/>
        </w:rPr>
        <w:t>Veterinária, Instituto de Ciências Básicas da Saúde, UFRGS.</w:t>
      </w:r>
    </w:p>
    <w:p w:rsidR="005F5369" w:rsidRPr="00EB31A5" w:rsidRDefault="006C1919" w:rsidP="00011AF1">
      <w:pPr>
        <w:jc w:val="both"/>
        <w:rPr>
          <w:rFonts w:eastAsia="Arial" w:cs="Arial"/>
          <w:szCs w:val="24"/>
        </w:rPr>
      </w:pPr>
      <w:r w:rsidRPr="00EB31A5">
        <w:rPr>
          <w:rFonts w:eastAsia="Arial" w:cs="Arial"/>
          <w:szCs w:val="24"/>
        </w:rPr>
        <w:tab/>
      </w:r>
      <w:r w:rsidR="005F5369" w:rsidRPr="00EB31A5">
        <w:rPr>
          <w:rFonts w:eastAsia="Arial" w:cs="Arial"/>
          <w:szCs w:val="24"/>
        </w:rPr>
        <w:t xml:space="preserve">Renata Osório de Faria, </w:t>
      </w:r>
      <w:proofErr w:type="spellStart"/>
      <w:r w:rsidR="005F5369" w:rsidRPr="00EB31A5">
        <w:rPr>
          <w:rFonts w:eastAsia="Arial" w:cs="Arial"/>
          <w:szCs w:val="24"/>
        </w:rPr>
        <w:t>Drª</w:t>
      </w:r>
      <w:proofErr w:type="spellEnd"/>
      <w:r w:rsidR="005F5369" w:rsidRPr="00EB31A5">
        <w:rPr>
          <w:rFonts w:eastAsia="Arial" w:cs="Arial"/>
          <w:szCs w:val="24"/>
        </w:rPr>
        <w:t xml:space="preserve">. Professora </w:t>
      </w:r>
      <w:r w:rsidR="00697D17" w:rsidRPr="00EB31A5">
        <w:rPr>
          <w:rFonts w:eastAsia="Arial" w:cs="Arial"/>
          <w:szCs w:val="24"/>
        </w:rPr>
        <w:t>Departamento de</w:t>
      </w:r>
      <w:r w:rsidR="00033ABB" w:rsidRPr="00EB31A5">
        <w:rPr>
          <w:rFonts w:eastAsia="Arial" w:cs="Arial"/>
          <w:szCs w:val="24"/>
        </w:rPr>
        <w:t xml:space="preserve"> Veterinária Preventiva - </w:t>
      </w:r>
      <w:r w:rsidR="005F5369" w:rsidRPr="00EB31A5">
        <w:rPr>
          <w:rFonts w:eastAsia="Arial" w:cs="Arial"/>
          <w:szCs w:val="24"/>
        </w:rPr>
        <w:t xml:space="preserve">Faculdade de Veterinária – </w:t>
      </w:r>
      <w:proofErr w:type="spellStart"/>
      <w:r w:rsidR="005F5369" w:rsidRPr="00EB31A5">
        <w:rPr>
          <w:rFonts w:eastAsia="Arial" w:cs="Arial"/>
          <w:szCs w:val="24"/>
        </w:rPr>
        <w:t>UFPel</w:t>
      </w:r>
      <w:proofErr w:type="spellEnd"/>
    </w:p>
    <w:p w:rsidR="005F5369" w:rsidRPr="00EB31A5" w:rsidRDefault="006C1919" w:rsidP="00011AF1">
      <w:pPr>
        <w:jc w:val="both"/>
        <w:rPr>
          <w:rFonts w:eastAsia="Arial" w:cs="Arial"/>
          <w:szCs w:val="24"/>
        </w:rPr>
      </w:pPr>
      <w:r w:rsidRPr="00EB31A5">
        <w:rPr>
          <w:rFonts w:eastAsia="Arial" w:cs="Arial"/>
          <w:szCs w:val="24"/>
        </w:rPr>
        <w:tab/>
      </w:r>
      <w:proofErr w:type="spellStart"/>
      <w:r w:rsidR="005F5369" w:rsidRPr="00EB31A5">
        <w:rPr>
          <w:rFonts w:eastAsia="Arial" w:cs="Arial"/>
          <w:szCs w:val="24"/>
        </w:rPr>
        <w:t>Marlete</w:t>
      </w:r>
      <w:proofErr w:type="spellEnd"/>
      <w:r w:rsidR="005F5369" w:rsidRPr="00EB31A5">
        <w:rPr>
          <w:rFonts w:eastAsia="Arial" w:cs="Arial"/>
          <w:szCs w:val="24"/>
        </w:rPr>
        <w:t xml:space="preserve"> Brum </w:t>
      </w:r>
      <w:proofErr w:type="spellStart"/>
      <w:r w:rsidR="005F5369" w:rsidRPr="00EB31A5">
        <w:rPr>
          <w:rFonts w:eastAsia="Arial" w:cs="Arial"/>
          <w:szCs w:val="24"/>
        </w:rPr>
        <w:t>Cleff</w:t>
      </w:r>
      <w:proofErr w:type="spellEnd"/>
      <w:r w:rsidR="005F5369" w:rsidRPr="00EB31A5">
        <w:rPr>
          <w:rFonts w:eastAsia="Arial" w:cs="Arial"/>
          <w:szCs w:val="24"/>
        </w:rPr>
        <w:t xml:space="preserve">, </w:t>
      </w:r>
      <w:proofErr w:type="spellStart"/>
      <w:r w:rsidR="005F5369" w:rsidRPr="00EB31A5">
        <w:rPr>
          <w:rFonts w:eastAsia="Arial" w:cs="Arial"/>
          <w:szCs w:val="24"/>
        </w:rPr>
        <w:t>Drª</w:t>
      </w:r>
      <w:proofErr w:type="spellEnd"/>
      <w:r w:rsidR="005F5369" w:rsidRPr="00EB31A5">
        <w:rPr>
          <w:rFonts w:eastAsia="Arial" w:cs="Arial"/>
          <w:szCs w:val="24"/>
        </w:rPr>
        <w:t>. Dep</w:t>
      </w:r>
      <w:r w:rsidR="00697D17" w:rsidRPr="00EB31A5">
        <w:rPr>
          <w:rFonts w:eastAsia="Arial" w:cs="Arial"/>
          <w:szCs w:val="24"/>
        </w:rPr>
        <w:t>artamento</w:t>
      </w:r>
      <w:r w:rsidR="005F5369" w:rsidRPr="00EB31A5">
        <w:rPr>
          <w:rFonts w:eastAsia="Arial" w:cs="Arial"/>
          <w:szCs w:val="24"/>
        </w:rPr>
        <w:t xml:space="preserve"> de Clinicas Veterinárias - Faculdade de</w:t>
      </w:r>
      <w:r w:rsidR="00033ABB" w:rsidRPr="00EB31A5">
        <w:rPr>
          <w:rFonts w:eastAsia="Arial" w:cs="Arial"/>
          <w:szCs w:val="24"/>
        </w:rPr>
        <w:t xml:space="preserve"> </w:t>
      </w:r>
      <w:r w:rsidR="005F5369" w:rsidRPr="00EB31A5">
        <w:rPr>
          <w:rFonts w:eastAsia="Arial" w:cs="Arial"/>
          <w:szCs w:val="24"/>
        </w:rPr>
        <w:t xml:space="preserve">Veterinária – </w:t>
      </w:r>
      <w:proofErr w:type="spellStart"/>
      <w:r w:rsidR="005F5369" w:rsidRPr="00EB31A5">
        <w:rPr>
          <w:rFonts w:eastAsia="Arial" w:cs="Arial"/>
          <w:szCs w:val="24"/>
        </w:rPr>
        <w:t>UFPel</w:t>
      </w:r>
      <w:proofErr w:type="spellEnd"/>
    </w:p>
    <w:p w:rsidR="005F5369" w:rsidRPr="00EB31A5" w:rsidRDefault="006C1919" w:rsidP="00011AF1">
      <w:pPr>
        <w:jc w:val="both"/>
        <w:rPr>
          <w:rFonts w:eastAsia="Arial" w:cs="Arial"/>
          <w:szCs w:val="24"/>
        </w:rPr>
      </w:pPr>
      <w:r w:rsidRPr="00EB31A5">
        <w:rPr>
          <w:rFonts w:eastAsia="Arial" w:cs="Arial"/>
          <w:szCs w:val="24"/>
        </w:rPr>
        <w:tab/>
      </w:r>
      <w:proofErr w:type="spellStart"/>
      <w:r w:rsidR="005F5369" w:rsidRPr="00EB31A5">
        <w:rPr>
          <w:rFonts w:eastAsia="Arial" w:cs="Arial"/>
          <w:szCs w:val="24"/>
        </w:rPr>
        <w:t>Stefanie</w:t>
      </w:r>
      <w:proofErr w:type="spellEnd"/>
      <w:r w:rsidR="005F5369" w:rsidRPr="00EB31A5">
        <w:rPr>
          <w:rFonts w:eastAsia="Arial" w:cs="Arial"/>
          <w:szCs w:val="24"/>
        </w:rPr>
        <w:t xml:space="preserve"> </w:t>
      </w:r>
      <w:proofErr w:type="spellStart"/>
      <w:r w:rsidR="0080159A" w:rsidRPr="00EB31A5">
        <w:rPr>
          <w:rFonts w:eastAsia="Arial" w:cs="Arial"/>
          <w:szCs w:val="24"/>
        </w:rPr>
        <w:t>Bressan</w:t>
      </w:r>
      <w:proofErr w:type="spellEnd"/>
      <w:r w:rsidR="0080159A" w:rsidRPr="00EB31A5">
        <w:rPr>
          <w:rFonts w:eastAsia="Arial" w:cs="Arial"/>
          <w:szCs w:val="24"/>
        </w:rPr>
        <w:t xml:space="preserve"> </w:t>
      </w:r>
      <w:proofErr w:type="spellStart"/>
      <w:r w:rsidR="0080159A" w:rsidRPr="00EB31A5">
        <w:rPr>
          <w:rFonts w:eastAsia="Arial" w:cs="Arial"/>
          <w:szCs w:val="24"/>
        </w:rPr>
        <w:t>Waller</w:t>
      </w:r>
      <w:proofErr w:type="spellEnd"/>
      <w:r w:rsidR="0080159A" w:rsidRPr="00EB31A5">
        <w:rPr>
          <w:rFonts w:eastAsia="Arial" w:cs="Arial"/>
          <w:szCs w:val="24"/>
        </w:rPr>
        <w:t xml:space="preserve">, </w:t>
      </w:r>
      <w:proofErr w:type="spellStart"/>
      <w:r w:rsidR="0080159A" w:rsidRPr="00EB31A5">
        <w:rPr>
          <w:rFonts w:eastAsia="Arial" w:cs="Arial"/>
          <w:szCs w:val="24"/>
        </w:rPr>
        <w:t>Ms</w:t>
      </w:r>
      <w:proofErr w:type="spellEnd"/>
      <w:r w:rsidR="0080159A" w:rsidRPr="00EB31A5">
        <w:rPr>
          <w:rFonts w:eastAsia="Arial" w:cs="Arial"/>
          <w:szCs w:val="24"/>
        </w:rPr>
        <w:t xml:space="preserve">. Doutoranda </w:t>
      </w:r>
      <w:r w:rsidR="005F5369" w:rsidRPr="00EB31A5">
        <w:rPr>
          <w:rFonts w:eastAsia="Arial" w:cs="Arial"/>
          <w:szCs w:val="24"/>
        </w:rPr>
        <w:t>no Programa de Pós-Graduação em</w:t>
      </w:r>
      <w:r w:rsidR="00033ABB" w:rsidRPr="00EB31A5">
        <w:rPr>
          <w:rFonts w:eastAsia="Arial" w:cs="Arial"/>
          <w:szCs w:val="24"/>
        </w:rPr>
        <w:t xml:space="preserve"> </w:t>
      </w:r>
      <w:r w:rsidR="005F5369" w:rsidRPr="00EB31A5">
        <w:rPr>
          <w:rFonts w:eastAsia="Arial" w:cs="Arial"/>
          <w:szCs w:val="24"/>
        </w:rPr>
        <w:t xml:space="preserve">Veterinária - Faculdade de Veterinária – </w:t>
      </w:r>
      <w:proofErr w:type="spellStart"/>
      <w:r w:rsidR="005F5369" w:rsidRPr="00EB31A5">
        <w:rPr>
          <w:rFonts w:eastAsia="Arial" w:cs="Arial"/>
          <w:szCs w:val="24"/>
        </w:rPr>
        <w:t>UFPel</w:t>
      </w:r>
      <w:proofErr w:type="spellEnd"/>
      <w:r w:rsidR="005F5369" w:rsidRPr="00EB31A5">
        <w:rPr>
          <w:rFonts w:eastAsia="Arial" w:cs="Arial"/>
          <w:szCs w:val="24"/>
        </w:rPr>
        <w:t>.</w:t>
      </w:r>
    </w:p>
    <w:p w:rsidR="0080159A" w:rsidRPr="00EB31A5" w:rsidRDefault="006C1919" w:rsidP="00011AF1">
      <w:pPr>
        <w:jc w:val="both"/>
        <w:rPr>
          <w:rFonts w:eastAsia="Arial" w:cs="Arial"/>
          <w:szCs w:val="24"/>
        </w:rPr>
      </w:pPr>
      <w:r w:rsidRPr="00EB31A5">
        <w:rPr>
          <w:rFonts w:eastAsia="Arial" w:cs="Arial"/>
          <w:szCs w:val="24"/>
        </w:rPr>
        <w:tab/>
      </w:r>
      <w:r w:rsidR="0080159A" w:rsidRPr="00EB31A5">
        <w:rPr>
          <w:rFonts w:eastAsia="Arial" w:cs="Arial"/>
          <w:szCs w:val="24"/>
        </w:rPr>
        <w:t xml:space="preserve">Gisele </w:t>
      </w:r>
      <w:proofErr w:type="spellStart"/>
      <w:r w:rsidR="0080159A" w:rsidRPr="00EB31A5">
        <w:rPr>
          <w:rFonts w:eastAsia="Arial" w:cs="Arial"/>
          <w:szCs w:val="24"/>
        </w:rPr>
        <w:t>Seberino</w:t>
      </w:r>
      <w:proofErr w:type="spellEnd"/>
      <w:r w:rsidR="0080159A" w:rsidRPr="00EB31A5">
        <w:rPr>
          <w:rFonts w:eastAsia="Arial" w:cs="Arial"/>
          <w:szCs w:val="24"/>
        </w:rPr>
        <w:t>. Mestranda do Programa de Pós-graduação em Ciências Veterinárias – PPGCV – UFRGS.</w:t>
      </w:r>
    </w:p>
    <w:p w:rsidR="00011AF1" w:rsidRDefault="006C1919" w:rsidP="00011AF1">
      <w:pPr>
        <w:jc w:val="both"/>
        <w:rPr>
          <w:rFonts w:eastAsia="Arial" w:cs="Arial"/>
          <w:szCs w:val="24"/>
        </w:rPr>
      </w:pPr>
      <w:r w:rsidRPr="00EB31A5">
        <w:rPr>
          <w:rFonts w:cs="Arial"/>
          <w:szCs w:val="24"/>
        </w:rPr>
        <w:tab/>
      </w:r>
      <w:r w:rsidR="00DA6932" w:rsidRPr="00EB31A5">
        <w:rPr>
          <w:rFonts w:cs="Arial"/>
          <w:szCs w:val="24"/>
        </w:rPr>
        <w:t>Muriel Rodrigues Ferraz de Oliveira</w:t>
      </w:r>
      <w:r w:rsidR="00394BE8" w:rsidRPr="00EB31A5">
        <w:rPr>
          <w:rFonts w:eastAsia="Arial" w:cs="Arial"/>
          <w:szCs w:val="24"/>
        </w:rPr>
        <w:t>. Mestranda do Programa de Pós-graduação em Ciênci</w:t>
      </w:r>
      <w:r w:rsidR="00011AF1">
        <w:rPr>
          <w:rFonts w:eastAsia="Arial" w:cs="Arial"/>
          <w:szCs w:val="24"/>
        </w:rPr>
        <w:t xml:space="preserve">as Veterinárias – PPGCV – UFRG  </w:t>
      </w:r>
    </w:p>
    <w:p w:rsidR="005F5369" w:rsidRPr="00011AF1" w:rsidRDefault="00011AF1" w:rsidP="00011AF1">
      <w:pPr>
        <w:pStyle w:val="Ttulo2"/>
      </w:pPr>
      <w:r>
        <w:lastRenderedPageBreak/>
        <w:t xml:space="preserve"> </w:t>
      </w:r>
      <w:bookmarkStart w:id="5" w:name="_Toc6842205"/>
      <w:r w:rsidRPr="00011AF1">
        <w:t>1.4</w:t>
      </w:r>
      <w:r w:rsidR="005F5369" w:rsidRPr="00011AF1">
        <w:t xml:space="preserve"> Local de execução</w:t>
      </w:r>
      <w:bookmarkEnd w:id="5"/>
    </w:p>
    <w:p w:rsidR="005F5369" w:rsidRDefault="00244E44" w:rsidP="00011AF1">
      <w:pPr>
        <w:jc w:val="both"/>
        <w:rPr>
          <w:rFonts w:eastAsia="Arial" w:cs="Arial"/>
          <w:szCs w:val="24"/>
        </w:rPr>
      </w:pPr>
      <w:r w:rsidRPr="00011AF1">
        <w:rPr>
          <w:rFonts w:eastAsia="Arial" w:cs="Arial"/>
          <w:szCs w:val="24"/>
        </w:rPr>
        <w:tab/>
      </w:r>
      <w:r w:rsidR="005F5369" w:rsidRPr="00011AF1">
        <w:rPr>
          <w:rFonts w:eastAsia="Arial" w:cs="Arial"/>
          <w:szCs w:val="24"/>
        </w:rPr>
        <w:t>Universidade Federa</w:t>
      </w:r>
      <w:r w:rsidR="009F411B" w:rsidRPr="00011AF1">
        <w:rPr>
          <w:rFonts w:eastAsia="Arial" w:cs="Arial"/>
          <w:szCs w:val="24"/>
        </w:rPr>
        <w:t>l do Rio Grande do Sul (UFRGS)</w:t>
      </w:r>
      <w:r w:rsidR="005F5369" w:rsidRPr="00011AF1">
        <w:rPr>
          <w:rFonts w:eastAsia="Arial" w:cs="Arial"/>
          <w:szCs w:val="24"/>
        </w:rPr>
        <w:t>, Institu</w:t>
      </w:r>
      <w:r w:rsidR="009F411B" w:rsidRPr="00011AF1">
        <w:rPr>
          <w:rFonts w:eastAsia="Arial" w:cs="Arial"/>
          <w:szCs w:val="24"/>
        </w:rPr>
        <w:t xml:space="preserve">to de Ciências </w:t>
      </w:r>
      <w:r w:rsidR="00011AF1" w:rsidRPr="00011AF1">
        <w:rPr>
          <w:rFonts w:eastAsia="Arial" w:cs="Arial"/>
          <w:szCs w:val="24"/>
        </w:rPr>
        <w:t>B</w:t>
      </w:r>
      <w:r w:rsidR="009F411B" w:rsidRPr="00011AF1">
        <w:rPr>
          <w:rFonts w:eastAsia="Arial" w:cs="Arial"/>
          <w:szCs w:val="24"/>
        </w:rPr>
        <w:t>ásicas da Saúde, Departamento de Farmacologia.</w:t>
      </w:r>
    </w:p>
    <w:p w:rsidR="00FF5A38" w:rsidRPr="00FF5A38" w:rsidRDefault="00FF5A38" w:rsidP="00011AF1">
      <w:pPr>
        <w:jc w:val="both"/>
        <w:rPr>
          <w:rFonts w:eastAsia="Arial" w:cs="Arial"/>
          <w:sz w:val="16"/>
          <w:szCs w:val="16"/>
        </w:rPr>
      </w:pPr>
    </w:p>
    <w:p w:rsidR="005F5369" w:rsidRPr="00011AF1" w:rsidRDefault="006D37B1" w:rsidP="00011AF1">
      <w:pPr>
        <w:pStyle w:val="Ttulo2"/>
      </w:pPr>
      <w:bookmarkStart w:id="6" w:name="_Toc6842206"/>
      <w:r>
        <w:t>1.5</w:t>
      </w:r>
      <w:r w:rsidR="005F5369" w:rsidRPr="00011AF1">
        <w:t xml:space="preserve"> Período</w:t>
      </w:r>
      <w:bookmarkEnd w:id="6"/>
    </w:p>
    <w:p w:rsidR="005F5369" w:rsidRDefault="00244E44" w:rsidP="00FF5A38">
      <w:pPr>
        <w:jc w:val="both"/>
        <w:rPr>
          <w:rFonts w:eastAsia="Arial" w:cs="Arial"/>
          <w:szCs w:val="24"/>
        </w:rPr>
      </w:pPr>
      <w:r w:rsidRPr="00011AF1">
        <w:rPr>
          <w:rFonts w:eastAsia="Arial" w:cs="Arial"/>
          <w:szCs w:val="24"/>
        </w:rPr>
        <w:tab/>
      </w:r>
      <w:r w:rsidR="00907BDB" w:rsidRPr="00011AF1">
        <w:rPr>
          <w:rFonts w:eastAsia="Arial" w:cs="Arial"/>
          <w:szCs w:val="24"/>
        </w:rPr>
        <w:t>Junho</w:t>
      </w:r>
      <w:r w:rsidR="00727186" w:rsidRPr="00011AF1">
        <w:rPr>
          <w:rFonts w:eastAsia="Arial" w:cs="Arial"/>
          <w:szCs w:val="24"/>
        </w:rPr>
        <w:t xml:space="preserve"> de 2019</w:t>
      </w:r>
      <w:r w:rsidR="004C2709" w:rsidRPr="00011AF1">
        <w:rPr>
          <w:rFonts w:eastAsia="Arial" w:cs="Arial"/>
          <w:szCs w:val="24"/>
        </w:rPr>
        <w:t xml:space="preserve"> a fevereiro de 2021</w:t>
      </w:r>
      <w:r w:rsidR="005F5369" w:rsidRPr="00011AF1">
        <w:rPr>
          <w:rFonts w:eastAsia="Arial" w:cs="Arial"/>
          <w:szCs w:val="24"/>
        </w:rPr>
        <w:t>.</w:t>
      </w:r>
    </w:p>
    <w:p w:rsidR="00FF5A38" w:rsidRPr="00FF5A38" w:rsidRDefault="00FF5A38" w:rsidP="00FF5A38">
      <w:pPr>
        <w:jc w:val="both"/>
        <w:rPr>
          <w:rFonts w:eastAsia="Arial" w:cs="Arial"/>
          <w:sz w:val="20"/>
        </w:rPr>
      </w:pPr>
    </w:p>
    <w:p w:rsidR="005F5369" w:rsidRPr="00011AF1" w:rsidRDefault="006D37B1" w:rsidP="00FF5A38">
      <w:pPr>
        <w:pStyle w:val="Ttulo2"/>
      </w:pPr>
      <w:bookmarkStart w:id="7" w:name="_Toc6842207"/>
      <w:r>
        <w:t>1.6</w:t>
      </w:r>
      <w:r w:rsidR="005F5369" w:rsidRPr="00011AF1">
        <w:t xml:space="preserve"> Fontes de financiamento</w:t>
      </w:r>
      <w:bookmarkEnd w:id="7"/>
    </w:p>
    <w:p w:rsidR="006B2A43" w:rsidRDefault="00244E44" w:rsidP="00011AF1">
      <w:pPr>
        <w:jc w:val="both"/>
        <w:rPr>
          <w:rFonts w:eastAsia="Arial" w:cs="Arial"/>
          <w:szCs w:val="24"/>
        </w:rPr>
      </w:pPr>
      <w:r w:rsidRPr="00011AF1">
        <w:rPr>
          <w:rFonts w:eastAsia="Arial" w:cs="Arial"/>
          <w:szCs w:val="24"/>
        </w:rPr>
        <w:tab/>
      </w:r>
      <w:r w:rsidR="009F411B" w:rsidRPr="00011AF1">
        <w:rPr>
          <w:rFonts w:eastAsia="Arial" w:cs="Arial"/>
          <w:szCs w:val="24"/>
        </w:rPr>
        <w:t>Os</w:t>
      </w:r>
      <w:r w:rsidR="005F5369" w:rsidRPr="00011AF1">
        <w:rPr>
          <w:rFonts w:eastAsia="Arial" w:cs="Arial"/>
          <w:szCs w:val="24"/>
        </w:rPr>
        <w:t xml:space="preserve"> recursos do projeto</w:t>
      </w:r>
      <w:r w:rsidR="009220F4" w:rsidRPr="00011AF1">
        <w:rPr>
          <w:rFonts w:eastAsia="Arial" w:cs="Arial"/>
          <w:szCs w:val="24"/>
        </w:rPr>
        <w:t xml:space="preserve"> serão oriundos </w:t>
      </w:r>
      <w:r w:rsidR="005F5369" w:rsidRPr="00011AF1">
        <w:rPr>
          <w:rFonts w:eastAsia="Arial" w:cs="Arial"/>
          <w:szCs w:val="24"/>
        </w:rPr>
        <w:t xml:space="preserve">do </w:t>
      </w:r>
      <w:r w:rsidR="009220F4" w:rsidRPr="00011AF1">
        <w:rPr>
          <w:rFonts w:eastAsia="Arial" w:cs="Arial"/>
          <w:szCs w:val="24"/>
        </w:rPr>
        <w:t>próprio laboratório, do PPGCV (UFRGS), do PPGCV (</w:t>
      </w:r>
      <w:proofErr w:type="spellStart"/>
      <w:r w:rsidR="009220F4" w:rsidRPr="00011AF1">
        <w:rPr>
          <w:rFonts w:eastAsia="Arial" w:cs="Arial"/>
          <w:szCs w:val="24"/>
        </w:rPr>
        <w:t>UFPel</w:t>
      </w:r>
      <w:proofErr w:type="spellEnd"/>
      <w:r w:rsidR="009220F4" w:rsidRPr="00011AF1">
        <w:rPr>
          <w:rFonts w:eastAsia="Arial" w:cs="Arial"/>
          <w:szCs w:val="24"/>
        </w:rPr>
        <w:t xml:space="preserve">) e/ou de fontes </w:t>
      </w:r>
      <w:r w:rsidR="005F5369" w:rsidRPr="00011AF1">
        <w:rPr>
          <w:rFonts w:eastAsia="Arial" w:cs="Arial"/>
          <w:szCs w:val="24"/>
        </w:rPr>
        <w:t>de financiamento</w:t>
      </w:r>
      <w:r w:rsidR="009220F4" w:rsidRPr="00011AF1">
        <w:rPr>
          <w:rFonts w:eastAsia="Arial" w:cs="Arial"/>
          <w:szCs w:val="24"/>
        </w:rPr>
        <w:t xml:space="preserve"> </w:t>
      </w:r>
      <w:r w:rsidR="005F5369" w:rsidRPr="00011AF1">
        <w:rPr>
          <w:rFonts w:eastAsia="Arial" w:cs="Arial"/>
          <w:szCs w:val="24"/>
        </w:rPr>
        <w:t>CNPq, FAPERGS e outros.</w:t>
      </w:r>
    </w:p>
    <w:p w:rsidR="00FF5A38" w:rsidRPr="00FF5A38" w:rsidRDefault="00FF5A38" w:rsidP="00011AF1">
      <w:pPr>
        <w:jc w:val="both"/>
        <w:rPr>
          <w:rFonts w:eastAsia="Arial" w:cs="Arial"/>
          <w:sz w:val="20"/>
        </w:rPr>
      </w:pPr>
    </w:p>
    <w:p w:rsidR="005F5369" w:rsidRPr="00FF5A38" w:rsidRDefault="006D37B1" w:rsidP="00FF5A38">
      <w:pPr>
        <w:pStyle w:val="Ttulo2"/>
      </w:pPr>
      <w:bookmarkStart w:id="8" w:name="_Toc6842208"/>
      <w:r>
        <w:t>1.7</w:t>
      </w:r>
      <w:r w:rsidR="005F5369" w:rsidRPr="00FF5A38">
        <w:t xml:space="preserve"> Recursos materiais</w:t>
      </w:r>
      <w:bookmarkEnd w:id="8"/>
    </w:p>
    <w:p w:rsidR="00AF57F4" w:rsidRPr="00011AF1" w:rsidRDefault="00244E44" w:rsidP="00011AF1">
      <w:pPr>
        <w:jc w:val="both"/>
        <w:rPr>
          <w:rFonts w:eastAsia="Arial" w:cs="Arial"/>
          <w:szCs w:val="24"/>
        </w:rPr>
      </w:pPr>
      <w:r w:rsidRPr="00011AF1">
        <w:rPr>
          <w:rFonts w:eastAsia="Arial" w:cs="Arial"/>
          <w:szCs w:val="24"/>
        </w:rPr>
        <w:tab/>
      </w:r>
      <w:r w:rsidR="005F5369" w:rsidRPr="00011AF1">
        <w:rPr>
          <w:rFonts w:eastAsia="Arial" w:cs="Arial"/>
          <w:szCs w:val="24"/>
        </w:rPr>
        <w:t>Os equipamentos e materiais permanente</w:t>
      </w:r>
      <w:r w:rsidR="00033ABB" w:rsidRPr="00011AF1">
        <w:rPr>
          <w:rFonts w:eastAsia="Arial" w:cs="Arial"/>
          <w:szCs w:val="24"/>
        </w:rPr>
        <w:t>s necessários para o execução e d</w:t>
      </w:r>
      <w:r w:rsidR="005F5369" w:rsidRPr="00011AF1">
        <w:rPr>
          <w:rFonts w:eastAsia="Arial" w:cs="Arial"/>
          <w:szCs w:val="24"/>
        </w:rPr>
        <w:t>esenvolvimento do projeto estão disponíveis nos laboratórios envolvidos.</w:t>
      </w:r>
    </w:p>
    <w:p w:rsidR="00AF57F4" w:rsidRPr="00FF5A38" w:rsidRDefault="00AF57F4" w:rsidP="00011AF1">
      <w:pPr>
        <w:jc w:val="both"/>
        <w:rPr>
          <w:rFonts w:eastAsia="Arial" w:cs="Arial"/>
          <w:sz w:val="20"/>
        </w:rPr>
      </w:pPr>
    </w:p>
    <w:p w:rsidR="005F5369" w:rsidRPr="00011AF1" w:rsidRDefault="006D37B1" w:rsidP="00011AF1">
      <w:pPr>
        <w:pStyle w:val="Ttulo2"/>
      </w:pPr>
      <w:bookmarkStart w:id="9" w:name="_Toc6842209"/>
      <w:r>
        <w:t xml:space="preserve">1.8 </w:t>
      </w:r>
      <w:r w:rsidR="005F5369" w:rsidRPr="00011AF1">
        <w:t>Tema da pesquisa</w:t>
      </w:r>
      <w:bookmarkEnd w:id="9"/>
    </w:p>
    <w:p w:rsidR="005F5369" w:rsidRPr="00011AF1" w:rsidRDefault="00244E44" w:rsidP="00011AF1">
      <w:pPr>
        <w:jc w:val="both"/>
        <w:rPr>
          <w:rFonts w:eastAsia="Arial" w:cs="Arial"/>
          <w:szCs w:val="24"/>
        </w:rPr>
      </w:pPr>
      <w:r w:rsidRPr="00011AF1">
        <w:rPr>
          <w:rFonts w:eastAsia="Arial" w:cs="Arial"/>
          <w:szCs w:val="24"/>
        </w:rPr>
        <w:tab/>
      </w:r>
      <w:r w:rsidR="005F5369" w:rsidRPr="00011AF1">
        <w:rPr>
          <w:rFonts w:eastAsia="Arial" w:cs="Arial"/>
          <w:szCs w:val="24"/>
        </w:rPr>
        <w:t>Avaliação do potencial tóxico do óleo es</w:t>
      </w:r>
      <w:r w:rsidR="004C2709" w:rsidRPr="00011AF1">
        <w:rPr>
          <w:rFonts w:eastAsia="Arial" w:cs="Arial"/>
          <w:szCs w:val="24"/>
        </w:rPr>
        <w:t>s</w:t>
      </w:r>
      <w:r w:rsidR="005F5369" w:rsidRPr="00011AF1">
        <w:rPr>
          <w:rFonts w:eastAsia="Arial" w:cs="Arial"/>
          <w:szCs w:val="24"/>
        </w:rPr>
        <w:t xml:space="preserve">encial de Olea europaea através de um estudo </w:t>
      </w:r>
      <w:r w:rsidR="0066664A" w:rsidRPr="00011AF1">
        <w:rPr>
          <w:rFonts w:eastAsia="Arial" w:cs="Arial"/>
          <w:szCs w:val="24"/>
        </w:rPr>
        <w:t xml:space="preserve">para avaliação </w:t>
      </w:r>
      <w:r w:rsidR="005F5369" w:rsidRPr="00011AF1">
        <w:rPr>
          <w:rFonts w:eastAsia="Arial" w:cs="Arial"/>
          <w:szCs w:val="24"/>
        </w:rPr>
        <w:t xml:space="preserve">da toxicidade </w:t>
      </w:r>
      <w:r w:rsidR="004C2709" w:rsidRPr="00011AF1">
        <w:rPr>
          <w:rFonts w:eastAsia="Arial" w:cs="Arial"/>
          <w:szCs w:val="24"/>
        </w:rPr>
        <w:t>crônica</w:t>
      </w:r>
      <w:r w:rsidR="00727186" w:rsidRPr="00011AF1">
        <w:rPr>
          <w:rFonts w:eastAsia="Arial" w:cs="Arial"/>
          <w:szCs w:val="24"/>
        </w:rPr>
        <w:t xml:space="preserve"> e</w:t>
      </w:r>
      <w:r w:rsidR="00366F77" w:rsidRPr="00011AF1">
        <w:rPr>
          <w:rFonts w:eastAsia="Arial" w:cs="Arial"/>
          <w:szCs w:val="24"/>
        </w:rPr>
        <w:t xml:space="preserve"> </w:t>
      </w:r>
      <w:r w:rsidR="005F5369" w:rsidRPr="00011AF1">
        <w:rPr>
          <w:rFonts w:eastAsia="Arial" w:cs="Arial"/>
          <w:szCs w:val="24"/>
        </w:rPr>
        <w:t>reprodutiva</w:t>
      </w:r>
      <w:r w:rsidR="00DA6932" w:rsidRPr="00011AF1">
        <w:rPr>
          <w:rFonts w:eastAsia="Arial" w:cs="Arial"/>
          <w:szCs w:val="24"/>
        </w:rPr>
        <w:t>.</w:t>
      </w:r>
    </w:p>
    <w:p w:rsidR="00FF5A38" w:rsidRPr="00FF5A38" w:rsidRDefault="00FF5A38" w:rsidP="00011AF1">
      <w:pPr>
        <w:pStyle w:val="Ttulo2"/>
        <w:rPr>
          <w:sz w:val="20"/>
          <w:szCs w:val="20"/>
        </w:rPr>
      </w:pPr>
    </w:p>
    <w:p w:rsidR="005F5369" w:rsidRPr="00011AF1" w:rsidRDefault="006D37B1" w:rsidP="00011AF1">
      <w:pPr>
        <w:pStyle w:val="Ttulo2"/>
      </w:pPr>
      <w:bookmarkStart w:id="10" w:name="_Toc6842210"/>
      <w:r>
        <w:t>1.9</w:t>
      </w:r>
      <w:r w:rsidR="005F5369" w:rsidRPr="00011AF1">
        <w:t xml:space="preserve"> Problema da pesquisa</w:t>
      </w:r>
      <w:bookmarkEnd w:id="10"/>
    </w:p>
    <w:p w:rsidR="00011AF1" w:rsidRDefault="00244E44" w:rsidP="00011AF1">
      <w:pPr>
        <w:jc w:val="both"/>
        <w:rPr>
          <w:rFonts w:eastAsia="Arial" w:cs="Arial"/>
          <w:szCs w:val="24"/>
        </w:rPr>
      </w:pPr>
      <w:r w:rsidRPr="00011AF1">
        <w:rPr>
          <w:rFonts w:eastAsia="Arial" w:cs="Arial"/>
          <w:szCs w:val="24"/>
        </w:rPr>
        <w:tab/>
      </w:r>
      <w:r w:rsidR="005F5369" w:rsidRPr="00011AF1">
        <w:rPr>
          <w:rFonts w:eastAsia="Arial" w:cs="Arial"/>
          <w:szCs w:val="24"/>
        </w:rPr>
        <w:t>O óleo essencial de Olea europaea causa efeitos tóxicos no que se refere à toxicidade</w:t>
      </w:r>
      <w:r w:rsidR="004C2709" w:rsidRPr="00011AF1">
        <w:rPr>
          <w:rFonts w:eastAsia="Arial" w:cs="Arial"/>
          <w:szCs w:val="24"/>
        </w:rPr>
        <w:t xml:space="preserve"> crônica</w:t>
      </w:r>
      <w:r w:rsidR="00AB7EC8" w:rsidRPr="00011AF1">
        <w:rPr>
          <w:rFonts w:eastAsia="Arial" w:cs="Arial"/>
          <w:szCs w:val="24"/>
        </w:rPr>
        <w:t xml:space="preserve"> e</w:t>
      </w:r>
      <w:r w:rsidR="004C2709" w:rsidRPr="00011AF1">
        <w:rPr>
          <w:rFonts w:eastAsia="Arial" w:cs="Arial"/>
          <w:szCs w:val="24"/>
        </w:rPr>
        <w:t xml:space="preserve"> </w:t>
      </w:r>
      <w:r w:rsidR="00727186" w:rsidRPr="00011AF1">
        <w:rPr>
          <w:rFonts w:eastAsia="Arial" w:cs="Arial"/>
          <w:szCs w:val="24"/>
        </w:rPr>
        <w:t xml:space="preserve">reprodutiva </w:t>
      </w:r>
      <w:r w:rsidR="00033ABB" w:rsidRPr="00011AF1">
        <w:rPr>
          <w:rFonts w:eastAsia="Arial" w:cs="Arial"/>
          <w:szCs w:val="24"/>
        </w:rPr>
        <w:t xml:space="preserve">que </w:t>
      </w:r>
      <w:r w:rsidR="009A51DD" w:rsidRPr="00011AF1">
        <w:rPr>
          <w:rFonts w:eastAsia="Arial" w:cs="Arial"/>
          <w:szCs w:val="24"/>
        </w:rPr>
        <w:t>i</w:t>
      </w:r>
      <w:r w:rsidR="005F5369" w:rsidRPr="00011AF1">
        <w:rPr>
          <w:rFonts w:eastAsia="Arial" w:cs="Arial"/>
          <w:szCs w:val="24"/>
        </w:rPr>
        <w:t xml:space="preserve">mpossibilitem ou restrinjam sua utilização como </w:t>
      </w:r>
      <w:r w:rsidR="00DA6932" w:rsidRPr="00011AF1">
        <w:rPr>
          <w:rFonts w:eastAsia="Arial" w:cs="Arial"/>
          <w:szCs w:val="24"/>
        </w:rPr>
        <w:t>fármaco</w:t>
      </w:r>
    </w:p>
    <w:p w:rsidR="00FF5A38" w:rsidRPr="00FF5A38" w:rsidRDefault="00FF5A38" w:rsidP="00011AF1">
      <w:pPr>
        <w:jc w:val="both"/>
        <w:rPr>
          <w:rFonts w:eastAsia="Arial" w:cs="Arial"/>
          <w:sz w:val="12"/>
          <w:szCs w:val="12"/>
        </w:rPr>
      </w:pPr>
    </w:p>
    <w:p w:rsidR="00011AF1" w:rsidRPr="00011AF1" w:rsidRDefault="0019680E" w:rsidP="00011AF1">
      <w:pPr>
        <w:pStyle w:val="Ttulo2"/>
        <w:rPr>
          <w:rFonts w:eastAsia="Arial"/>
        </w:rPr>
      </w:pPr>
      <w:bookmarkStart w:id="11" w:name="_Toc6842211"/>
      <w:r w:rsidRPr="00011AF1">
        <w:t xml:space="preserve">1.10 </w:t>
      </w:r>
      <w:r w:rsidR="005F5369" w:rsidRPr="00011AF1">
        <w:t>Hipóteses</w:t>
      </w:r>
      <w:bookmarkEnd w:id="11"/>
    </w:p>
    <w:p w:rsidR="00CC517B" w:rsidRDefault="00011AF1" w:rsidP="00011AF1">
      <w:pPr>
        <w:widowControl w:val="0"/>
        <w:jc w:val="both"/>
        <w:rPr>
          <w:rFonts w:eastAsia="Arial" w:cs="Arial"/>
          <w:szCs w:val="24"/>
        </w:rPr>
      </w:pPr>
      <w:r>
        <w:rPr>
          <w:rFonts w:eastAsia="Arial" w:cs="Arial"/>
          <w:szCs w:val="24"/>
        </w:rPr>
        <w:tab/>
      </w:r>
      <w:r w:rsidR="004C2709" w:rsidRPr="00011AF1">
        <w:rPr>
          <w:rFonts w:eastAsia="Arial" w:cs="Arial"/>
          <w:szCs w:val="24"/>
        </w:rPr>
        <w:t>O óleo essencial</w:t>
      </w:r>
      <w:r w:rsidR="00366F77" w:rsidRPr="00011AF1">
        <w:rPr>
          <w:rFonts w:eastAsia="Arial" w:cs="Arial"/>
          <w:szCs w:val="24"/>
        </w:rPr>
        <w:t xml:space="preserve"> de Olea </w:t>
      </w:r>
      <w:r w:rsidR="00727186" w:rsidRPr="00011AF1">
        <w:rPr>
          <w:rFonts w:eastAsia="Arial" w:cs="Arial"/>
          <w:szCs w:val="24"/>
        </w:rPr>
        <w:t xml:space="preserve">europaea </w:t>
      </w:r>
      <w:r w:rsidR="0066664A" w:rsidRPr="00011AF1">
        <w:rPr>
          <w:rFonts w:eastAsia="Arial" w:cs="Arial"/>
          <w:szCs w:val="24"/>
        </w:rPr>
        <w:t xml:space="preserve">não apresenta </w:t>
      </w:r>
      <w:r w:rsidR="00993F2F" w:rsidRPr="00011AF1">
        <w:rPr>
          <w:rFonts w:eastAsia="Arial" w:cs="Arial"/>
          <w:szCs w:val="24"/>
        </w:rPr>
        <w:t>potencial in vivo</w:t>
      </w:r>
      <w:r w:rsidR="009A51DD" w:rsidRPr="00011AF1">
        <w:rPr>
          <w:rFonts w:eastAsia="Arial" w:cs="Arial"/>
          <w:szCs w:val="24"/>
        </w:rPr>
        <w:t xml:space="preserve"> </w:t>
      </w:r>
      <w:r w:rsidR="00993F2F" w:rsidRPr="00011AF1">
        <w:rPr>
          <w:rFonts w:eastAsia="Arial" w:cs="Arial"/>
          <w:szCs w:val="24"/>
        </w:rPr>
        <w:t>de</w:t>
      </w:r>
      <w:r w:rsidR="009F411B" w:rsidRPr="00011AF1">
        <w:rPr>
          <w:rFonts w:eastAsia="Arial" w:cs="Arial"/>
          <w:szCs w:val="24"/>
        </w:rPr>
        <w:t xml:space="preserve"> exercer</w:t>
      </w:r>
      <w:r w:rsidRPr="00011AF1">
        <w:rPr>
          <w:rFonts w:cs="Arial"/>
          <w:szCs w:val="24"/>
        </w:rPr>
        <w:t xml:space="preserve"> </w:t>
      </w:r>
      <w:r w:rsidR="00993F2F" w:rsidRPr="00011AF1">
        <w:rPr>
          <w:rFonts w:eastAsia="Arial" w:cs="Arial"/>
          <w:szCs w:val="24"/>
        </w:rPr>
        <w:t xml:space="preserve">toxicidade sobre a </w:t>
      </w:r>
      <w:r w:rsidR="009A51DD" w:rsidRPr="00011AF1">
        <w:rPr>
          <w:rFonts w:eastAsia="Arial" w:cs="Arial"/>
          <w:szCs w:val="24"/>
        </w:rPr>
        <w:t>fertilidade antes e durante o</w:t>
      </w:r>
      <w:r w:rsidR="00993F2F" w:rsidRPr="00011AF1">
        <w:rPr>
          <w:rFonts w:eastAsia="Arial" w:cs="Arial"/>
          <w:szCs w:val="24"/>
        </w:rPr>
        <w:t xml:space="preserve"> período de</w:t>
      </w:r>
      <w:r w:rsidR="00033ABB" w:rsidRPr="00011AF1">
        <w:rPr>
          <w:rFonts w:eastAsia="Arial" w:cs="Arial"/>
          <w:szCs w:val="24"/>
        </w:rPr>
        <w:t xml:space="preserve"> acasalamento.</w:t>
      </w:r>
      <w:r w:rsidR="00CC517B" w:rsidRPr="00011AF1">
        <w:rPr>
          <w:rFonts w:eastAsia="Arial" w:cs="Arial"/>
          <w:szCs w:val="24"/>
        </w:rPr>
        <w:t xml:space="preserve"> </w:t>
      </w:r>
    </w:p>
    <w:p w:rsidR="004D2071" w:rsidRPr="00EB31A5" w:rsidRDefault="004D2071" w:rsidP="0019680E">
      <w:pPr>
        <w:pStyle w:val="Ttulo1"/>
        <w:spacing w:before="120"/>
        <w:jc w:val="both"/>
        <w:rPr>
          <w:rFonts w:cs="Arial"/>
          <w:szCs w:val="24"/>
        </w:rPr>
      </w:pPr>
      <w:bookmarkStart w:id="12" w:name="_Toc6842212"/>
      <w:r w:rsidRPr="00EB31A5">
        <w:rPr>
          <w:rFonts w:cs="Arial"/>
          <w:szCs w:val="24"/>
        </w:rPr>
        <w:lastRenderedPageBreak/>
        <w:t>2 INTRODUÇÃO E JUSTIFICATIVA</w:t>
      </w:r>
      <w:bookmarkEnd w:id="12"/>
    </w:p>
    <w:p w:rsidR="008B3844" w:rsidRPr="00EB31A5" w:rsidRDefault="00011AF1" w:rsidP="00011AF1">
      <w:pPr>
        <w:jc w:val="both"/>
        <w:rPr>
          <w:rFonts w:cs="Arial"/>
          <w:szCs w:val="24"/>
        </w:rPr>
      </w:pPr>
      <w:r>
        <w:rPr>
          <w:rFonts w:cs="Arial"/>
          <w:szCs w:val="24"/>
        </w:rPr>
        <w:tab/>
      </w:r>
      <w:r w:rsidR="008B3844" w:rsidRPr="00EB31A5">
        <w:rPr>
          <w:rFonts w:cs="Arial"/>
          <w:szCs w:val="24"/>
        </w:rPr>
        <w:t xml:space="preserve">O desenvolvimento de novas drogas através de substâncias extraídas de plantas com potencial terapêutico tem sido o foco de muitos cientistas em diferentes regiões do planeta (HUSSAIN </w:t>
      </w:r>
      <w:r w:rsidR="008B3844" w:rsidRPr="00EB31A5">
        <w:rPr>
          <w:rFonts w:cs="Arial"/>
          <w:i/>
          <w:szCs w:val="24"/>
        </w:rPr>
        <w:t>et al.,</w:t>
      </w:r>
      <w:r w:rsidR="008B3844" w:rsidRPr="00EB31A5">
        <w:rPr>
          <w:rFonts w:cs="Arial"/>
          <w:szCs w:val="24"/>
        </w:rPr>
        <w:t xml:space="preserve"> 2011). Estima-se que 33% de todas as novas substancias químicas lançadas no mercado são oriundas de produtos naturais (SILVA </w:t>
      </w:r>
      <w:r w:rsidR="008B3844" w:rsidRPr="00EB31A5">
        <w:rPr>
          <w:rFonts w:cs="Arial"/>
          <w:i/>
          <w:szCs w:val="24"/>
        </w:rPr>
        <w:t>et al.</w:t>
      </w:r>
      <w:r w:rsidR="008B3844" w:rsidRPr="00EB31A5">
        <w:rPr>
          <w:rFonts w:cs="Arial"/>
          <w:szCs w:val="24"/>
        </w:rPr>
        <w:t xml:space="preserve">, 2008). A busca por fármacos provenientes de fontes naturais com ação antimicrobiana vem aumentando devido ao seu baixo custo, facilidade de acesso e por serem renováveis </w:t>
      </w:r>
      <w:r w:rsidR="008B3844" w:rsidRPr="00EB31A5">
        <w:rPr>
          <w:rFonts w:eastAsia="Arial" w:cs="Arial"/>
          <w:szCs w:val="24"/>
        </w:rPr>
        <w:t xml:space="preserve">(PEREIRA, 2009; VENTUROSO </w:t>
      </w:r>
      <w:r w:rsidR="008B3844" w:rsidRPr="00EB31A5">
        <w:rPr>
          <w:rFonts w:eastAsia="Arial" w:cs="Arial"/>
          <w:i/>
          <w:szCs w:val="24"/>
        </w:rPr>
        <w:t xml:space="preserve">et al., </w:t>
      </w:r>
      <w:r w:rsidR="008B3844" w:rsidRPr="00EB31A5">
        <w:rPr>
          <w:rFonts w:eastAsia="Arial" w:cs="Arial"/>
          <w:szCs w:val="24"/>
        </w:rPr>
        <w:t>2011).</w:t>
      </w:r>
    </w:p>
    <w:p w:rsidR="008B3844" w:rsidRPr="00EB31A5" w:rsidRDefault="008B3844" w:rsidP="0019680E">
      <w:pPr>
        <w:jc w:val="both"/>
        <w:rPr>
          <w:rFonts w:cs="Arial"/>
          <w:szCs w:val="24"/>
        </w:rPr>
      </w:pPr>
      <w:r w:rsidRPr="00EB31A5">
        <w:rPr>
          <w:rFonts w:cs="Arial"/>
          <w:szCs w:val="24"/>
        </w:rPr>
        <w:tab/>
        <w:t xml:space="preserve">A Organização Mundial da Saúde (OMS) reconhece a importância do uso de plantas medicinais, principalmente em países em desenvolvimento, como uma alternativa viável e de baixo custo. É estimado que, 80% da população mundial depende do uso da medicina tradicional para suas necessidades de cuidados primários de saúde (WHO, 2005).  </w:t>
      </w:r>
    </w:p>
    <w:p w:rsidR="008B3844" w:rsidRPr="00EB31A5" w:rsidRDefault="008B3844" w:rsidP="0019680E">
      <w:pPr>
        <w:jc w:val="both"/>
        <w:rPr>
          <w:rFonts w:cs="Arial"/>
          <w:szCs w:val="24"/>
        </w:rPr>
      </w:pPr>
      <w:r w:rsidRPr="00EB31A5">
        <w:rPr>
          <w:rFonts w:cs="Arial"/>
          <w:szCs w:val="24"/>
        </w:rPr>
        <w:tab/>
        <w:t xml:space="preserve">Os óleos essenciais são substâncias extraídas, através de processos específicos, de diversas espécies de vegetais, e que contém variável poder aromatizante. (OOTANI </w:t>
      </w:r>
      <w:r w:rsidRPr="00EB31A5">
        <w:rPr>
          <w:rFonts w:cs="Arial"/>
          <w:i/>
          <w:szCs w:val="24"/>
        </w:rPr>
        <w:t>et al</w:t>
      </w:r>
      <w:r w:rsidRPr="00EB31A5">
        <w:rPr>
          <w:rFonts w:cs="Arial"/>
          <w:szCs w:val="24"/>
        </w:rPr>
        <w:t xml:space="preserve">., 2013). Nas plantas, essas substâncias estão envolvidas em diversas funções essenciais no seu ciclo de vida, como atração de agentes fecundadores e também na defesa contra predadores e micro-organismos (SIANI </w:t>
      </w:r>
      <w:r w:rsidRPr="00EB31A5">
        <w:rPr>
          <w:rFonts w:cs="Arial"/>
          <w:i/>
          <w:szCs w:val="24"/>
        </w:rPr>
        <w:t>et al.,</w:t>
      </w:r>
      <w:r w:rsidRPr="00EB31A5">
        <w:rPr>
          <w:rFonts w:cs="Arial"/>
          <w:szCs w:val="24"/>
        </w:rPr>
        <w:t xml:space="preserve"> 2000).</w:t>
      </w:r>
    </w:p>
    <w:p w:rsidR="008B3844" w:rsidRPr="00EB31A5" w:rsidRDefault="008B3844" w:rsidP="0019680E">
      <w:pPr>
        <w:jc w:val="both"/>
        <w:rPr>
          <w:rFonts w:cs="Arial"/>
          <w:szCs w:val="24"/>
        </w:rPr>
      </w:pPr>
      <w:r w:rsidRPr="00EB31A5">
        <w:rPr>
          <w:rFonts w:cs="Arial"/>
          <w:szCs w:val="24"/>
        </w:rPr>
        <w:tab/>
        <w:t xml:space="preserve">Popularmente conhecida como oliveira, a </w:t>
      </w:r>
      <w:r w:rsidRPr="00EB31A5">
        <w:rPr>
          <w:rFonts w:cs="Arial"/>
          <w:i/>
          <w:szCs w:val="24"/>
        </w:rPr>
        <w:t>Olea europaea</w:t>
      </w:r>
      <w:r w:rsidRPr="00EB31A5">
        <w:rPr>
          <w:rFonts w:cs="Arial"/>
          <w:szCs w:val="24"/>
        </w:rPr>
        <w:t xml:space="preserve"> é uma planta originária da Bacia do Mediterrâneo, pertencente à família das Oleaceae e é a única espécie da família que produz frutos comestíveis, a azeitona, de onde é extraído o óleo de oliva, também chamado de azeite (OLIVEIRA </w:t>
      </w:r>
      <w:r w:rsidRPr="00EB31A5">
        <w:rPr>
          <w:rFonts w:cs="Arial"/>
          <w:i/>
          <w:szCs w:val="24"/>
        </w:rPr>
        <w:t>et al.,</w:t>
      </w:r>
      <w:r w:rsidRPr="00EB31A5">
        <w:rPr>
          <w:rFonts w:cs="Arial"/>
          <w:szCs w:val="24"/>
        </w:rPr>
        <w:t xml:space="preserve"> 2003). </w:t>
      </w:r>
    </w:p>
    <w:p w:rsidR="008B3844" w:rsidRPr="00EB31A5" w:rsidRDefault="008B3844" w:rsidP="0019680E">
      <w:pPr>
        <w:jc w:val="both"/>
        <w:rPr>
          <w:rFonts w:eastAsia="Arial" w:cs="Arial"/>
          <w:szCs w:val="24"/>
        </w:rPr>
      </w:pPr>
      <w:r w:rsidRPr="00EB31A5">
        <w:rPr>
          <w:rFonts w:cs="Arial"/>
          <w:szCs w:val="24"/>
        </w:rPr>
        <w:tab/>
      </w:r>
      <w:r w:rsidRPr="00EB31A5">
        <w:rPr>
          <w:rFonts w:eastAsia="Arial" w:cs="Arial"/>
          <w:szCs w:val="24"/>
        </w:rPr>
        <w:t xml:space="preserve">Fisiologicamente os vegetais possuem dois tipos de metabólitos, os primários e os secundários, sendo o primário responsável pela sobrevivência da planta e o secundário por sua defesa e que pode ser separado em três grandes grupos: os compostos fenólicos, terpenos e compostos que contém nitrogênio (TAIZ &amp; ZEIGER, 2004). </w:t>
      </w:r>
      <w:r w:rsidRPr="00EB31A5">
        <w:rPr>
          <w:rFonts w:cs="Arial"/>
          <w:szCs w:val="24"/>
        </w:rPr>
        <w:t xml:space="preserve">A composição das variáveis de azeitonas destinadas a extração é de aproximadamente 80% de ácido oléico (ácido graxo </w:t>
      </w:r>
      <w:r w:rsidRPr="00EB31A5">
        <w:rPr>
          <w:rFonts w:eastAsia="Arial" w:cs="Arial"/>
          <w:szCs w:val="24"/>
        </w:rPr>
        <w:t xml:space="preserve">ω-9 monoinsaturado) e razoáveis quantidades de ácidos graxos essenciais, o que lhes confere propriedades nutricionais especiais, pois estudos mostram que a incidência de doenças coronarianas é menor em indivíduos que tem o hábito de consumir ácidos graxos ω-9, quando comparados </w:t>
      </w:r>
      <w:r w:rsidRPr="00EB31A5">
        <w:rPr>
          <w:rFonts w:eastAsia="Arial" w:cs="Arial"/>
          <w:szCs w:val="24"/>
        </w:rPr>
        <w:lastRenderedPageBreak/>
        <w:t xml:space="preserve">com indivíduos que consomem gordura saturada (ALBA, 2008; PEIXOTO </w:t>
      </w:r>
      <w:r w:rsidRPr="00EB31A5">
        <w:rPr>
          <w:rFonts w:eastAsia="Arial" w:cs="Arial"/>
          <w:i/>
          <w:szCs w:val="24"/>
        </w:rPr>
        <w:t>et al</w:t>
      </w:r>
      <w:r w:rsidRPr="00EB31A5">
        <w:rPr>
          <w:rFonts w:eastAsia="Arial" w:cs="Arial"/>
          <w:szCs w:val="24"/>
        </w:rPr>
        <w:t xml:space="preserve">., 1998). Outros componentes benéficos das azeitonas são os </w:t>
      </w:r>
      <w:proofErr w:type="spellStart"/>
      <w:r w:rsidRPr="00EB31A5">
        <w:rPr>
          <w:rFonts w:eastAsia="Arial" w:cs="Arial"/>
          <w:szCs w:val="24"/>
        </w:rPr>
        <w:t>tocofenóis</w:t>
      </w:r>
      <w:proofErr w:type="spellEnd"/>
      <w:r w:rsidRPr="00EB31A5">
        <w:rPr>
          <w:rFonts w:eastAsia="Arial" w:cs="Arial"/>
          <w:szCs w:val="24"/>
        </w:rPr>
        <w:t xml:space="preserve">, vitaminas do complexo B que são ricas em antioxidantes, minerais diversos e compostos fenólicos como a </w:t>
      </w:r>
      <w:proofErr w:type="spellStart"/>
      <w:r w:rsidRPr="00EB31A5">
        <w:rPr>
          <w:rFonts w:eastAsia="Arial" w:cs="Arial"/>
          <w:szCs w:val="24"/>
        </w:rPr>
        <w:t>oleuropeina</w:t>
      </w:r>
      <w:proofErr w:type="spellEnd"/>
      <w:r w:rsidRPr="00EB31A5">
        <w:rPr>
          <w:rFonts w:eastAsia="Arial" w:cs="Arial"/>
          <w:szCs w:val="24"/>
        </w:rPr>
        <w:t xml:space="preserve">, </w:t>
      </w:r>
      <w:proofErr w:type="spellStart"/>
      <w:r w:rsidRPr="00EB31A5">
        <w:rPr>
          <w:rFonts w:eastAsia="Arial" w:cs="Arial"/>
          <w:szCs w:val="24"/>
        </w:rPr>
        <w:t>tyrosol</w:t>
      </w:r>
      <w:proofErr w:type="spellEnd"/>
      <w:r w:rsidRPr="00EB31A5">
        <w:rPr>
          <w:rFonts w:eastAsia="Arial" w:cs="Arial"/>
          <w:szCs w:val="24"/>
        </w:rPr>
        <w:t xml:space="preserve">, </w:t>
      </w:r>
      <w:proofErr w:type="spellStart"/>
      <w:r w:rsidRPr="00EB31A5">
        <w:rPr>
          <w:rFonts w:eastAsia="Arial" w:cs="Arial"/>
          <w:szCs w:val="24"/>
        </w:rPr>
        <w:t>hidroxityrosol</w:t>
      </w:r>
      <w:proofErr w:type="spellEnd"/>
      <w:r w:rsidRPr="00EB31A5">
        <w:rPr>
          <w:rFonts w:eastAsia="Arial" w:cs="Arial"/>
          <w:szCs w:val="24"/>
        </w:rPr>
        <w:t xml:space="preserve"> (BOBBIO E BOBBIO, 2003; BOSCKOU, 1996; JUVEN &amp; HENIS, 1970). A oleuropeína é o principal componente presente tanto nas folhas como nos frutos da oliveira, todavia a composição dos fenóis presentes nos extratos pode variar consideravelmente, podendo essa variação ser resultante tanto da colheita, como do processamento da amostra (MELLO &amp; PINHEIRO, 2012). </w:t>
      </w:r>
    </w:p>
    <w:p w:rsidR="008B3844" w:rsidRPr="00EB31A5" w:rsidRDefault="008B3844" w:rsidP="0019680E">
      <w:pPr>
        <w:jc w:val="both"/>
        <w:rPr>
          <w:rFonts w:eastAsia="Arial" w:cs="Arial"/>
          <w:szCs w:val="24"/>
        </w:rPr>
      </w:pPr>
      <w:r w:rsidRPr="00EB31A5">
        <w:rPr>
          <w:rFonts w:eastAsia="Arial" w:cs="Arial"/>
          <w:szCs w:val="24"/>
        </w:rPr>
        <w:tab/>
        <w:t xml:space="preserve">Uma das propriedades da oleuropeína é sua ação antioxidante, de modo que o azeite de oliva se mostrou eficaz no tratamento de doenças crônicas como as cardiovasculares e o diabetes, devido a sua atividade moduladora de radicais livres (MELOO &amp; PINHEIRO 2012; MARKIN </w:t>
      </w:r>
      <w:r w:rsidRPr="00EB31A5">
        <w:rPr>
          <w:rFonts w:eastAsia="Arial" w:cs="Arial"/>
          <w:i/>
          <w:szCs w:val="24"/>
        </w:rPr>
        <w:t>et al.,</w:t>
      </w:r>
      <w:r w:rsidRPr="00EB31A5">
        <w:rPr>
          <w:rFonts w:eastAsia="Arial" w:cs="Arial"/>
          <w:szCs w:val="24"/>
        </w:rPr>
        <w:t xml:space="preserve"> 2003). Benavente </w:t>
      </w:r>
      <w:r w:rsidRPr="00EB31A5">
        <w:rPr>
          <w:rFonts w:eastAsia="Arial" w:cs="Arial"/>
          <w:i/>
          <w:szCs w:val="24"/>
        </w:rPr>
        <w:t>et al.</w:t>
      </w:r>
      <w:r w:rsidRPr="00EB31A5">
        <w:rPr>
          <w:rFonts w:eastAsia="Arial" w:cs="Arial"/>
          <w:szCs w:val="24"/>
        </w:rPr>
        <w:t xml:space="preserve"> (2000) relataram ainda, que o óleo de oliva tem potencial antioxidante superior a vitamina C e </w:t>
      </w:r>
      <w:proofErr w:type="spellStart"/>
      <w:r w:rsidRPr="00EB31A5">
        <w:rPr>
          <w:rFonts w:eastAsia="Arial" w:cs="Arial"/>
          <w:szCs w:val="24"/>
        </w:rPr>
        <w:t>E</w:t>
      </w:r>
      <w:proofErr w:type="spellEnd"/>
      <w:r w:rsidRPr="00EB31A5">
        <w:rPr>
          <w:rFonts w:eastAsia="Arial" w:cs="Arial"/>
          <w:szCs w:val="24"/>
        </w:rPr>
        <w:t xml:space="preserve">. Sugerindo que essa ação seja devido a sua fração fenólica (BENAVENTE </w:t>
      </w:r>
      <w:r w:rsidRPr="00EB31A5">
        <w:rPr>
          <w:rFonts w:eastAsia="Arial" w:cs="Arial"/>
          <w:i/>
          <w:szCs w:val="24"/>
        </w:rPr>
        <w:t>et al.,</w:t>
      </w:r>
      <w:r w:rsidRPr="00EB31A5">
        <w:rPr>
          <w:rFonts w:eastAsia="Arial" w:cs="Arial"/>
          <w:szCs w:val="24"/>
        </w:rPr>
        <w:t xml:space="preserve"> 2000; HAYES </w:t>
      </w:r>
      <w:r w:rsidRPr="00EB31A5">
        <w:rPr>
          <w:rFonts w:eastAsia="Arial" w:cs="Arial"/>
          <w:i/>
          <w:szCs w:val="24"/>
        </w:rPr>
        <w:t>et al</w:t>
      </w:r>
      <w:r w:rsidRPr="00EB31A5">
        <w:rPr>
          <w:rFonts w:eastAsia="Arial" w:cs="Arial"/>
          <w:szCs w:val="24"/>
        </w:rPr>
        <w:t xml:space="preserve">., 2011; LEE </w:t>
      </w:r>
      <w:r w:rsidRPr="00EB31A5">
        <w:rPr>
          <w:rFonts w:eastAsia="Arial" w:cs="Arial"/>
          <w:i/>
          <w:szCs w:val="24"/>
        </w:rPr>
        <w:t>et al</w:t>
      </w:r>
      <w:r w:rsidRPr="00EB31A5">
        <w:rPr>
          <w:rFonts w:eastAsia="Arial" w:cs="Arial"/>
          <w:szCs w:val="24"/>
        </w:rPr>
        <w:t xml:space="preserve">., 2009; SILVA </w:t>
      </w:r>
      <w:r w:rsidRPr="00EB31A5">
        <w:rPr>
          <w:rFonts w:eastAsia="Arial" w:cs="Arial"/>
          <w:i/>
          <w:szCs w:val="24"/>
        </w:rPr>
        <w:t>et al.,</w:t>
      </w:r>
      <w:r w:rsidRPr="00EB31A5">
        <w:rPr>
          <w:rFonts w:eastAsia="Arial" w:cs="Arial"/>
          <w:szCs w:val="24"/>
        </w:rPr>
        <w:t xml:space="preserve"> 2006). O extrato de folha de oliveira e seus compostos fenólicos, apresentaram atividade antimicrobiana contra bactérias, vírus, leveduras, fungos e alguns parasitas (JUVEN &amp; HENIS, 1970; FLEMING </w:t>
      </w:r>
      <w:r w:rsidRPr="00EB31A5">
        <w:rPr>
          <w:rFonts w:eastAsia="Arial" w:cs="Arial"/>
          <w:i/>
          <w:szCs w:val="24"/>
        </w:rPr>
        <w:t>et al</w:t>
      </w:r>
      <w:r w:rsidRPr="00EB31A5">
        <w:rPr>
          <w:rFonts w:eastAsia="Arial" w:cs="Arial"/>
          <w:szCs w:val="24"/>
        </w:rPr>
        <w:t xml:space="preserve">., 1973; MAHJOUB &amp; BULLERMAN, 1987; GOURAMA </w:t>
      </w:r>
      <w:r w:rsidRPr="00EB31A5">
        <w:rPr>
          <w:rFonts w:eastAsia="Arial" w:cs="Arial"/>
          <w:i/>
          <w:szCs w:val="24"/>
        </w:rPr>
        <w:t>et al</w:t>
      </w:r>
      <w:r w:rsidRPr="00EB31A5">
        <w:rPr>
          <w:rFonts w:eastAsia="Arial" w:cs="Arial"/>
          <w:szCs w:val="24"/>
        </w:rPr>
        <w:t xml:space="preserve">.1989; TRANTER </w:t>
      </w:r>
      <w:r w:rsidRPr="00EB31A5">
        <w:rPr>
          <w:rFonts w:eastAsia="Arial" w:cs="Arial"/>
          <w:i/>
          <w:szCs w:val="24"/>
        </w:rPr>
        <w:t>et al.,</w:t>
      </w:r>
      <w:r w:rsidRPr="00EB31A5">
        <w:rPr>
          <w:rFonts w:eastAsia="Arial" w:cs="Arial"/>
          <w:szCs w:val="24"/>
        </w:rPr>
        <w:t xml:space="preserve"> 1993; TASSOU &amp; NYCHAS, 1995; BISIGNANO </w:t>
      </w:r>
      <w:r w:rsidRPr="00EB31A5">
        <w:rPr>
          <w:rFonts w:eastAsia="Arial" w:cs="Arial"/>
          <w:i/>
          <w:szCs w:val="24"/>
        </w:rPr>
        <w:t>et al.,</w:t>
      </w:r>
      <w:r w:rsidRPr="00EB31A5">
        <w:rPr>
          <w:rFonts w:eastAsia="Arial" w:cs="Arial"/>
          <w:szCs w:val="24"/>
        </w:rPr>
        <w:t xml:space="preserve"> 1999; </w:t>
      </w:r>
      <w:proofErr w:type="spellStart"/>
      <w:r w:rsidRPr="00EB31A5">
        <w:rPr>
          <w:rFonts w:eastAsia="Arial" w:cs="Arial"/>
          <w:szCs w:val="24"/>
        </w:rPr>
        <w:t>McDONALD</w:t>
      </w:r>
      <w:proofErr w:type="spellEnd"/>
      <w:r w:rsidRPr="00EB31A5">
        <w:rPr>
          <w:rFonts w:eastAsia="Arial" w:cs="Arial"/>
          <w:szCs w:val="24"/>
        </w:rPr>
        <w:t xml:space="preserve"> </w:t>
      </w:r>
      <w:r w:rsidRPr="00EB31A5">
        <w:rPr>
          <w:rFonts w:eastAsia="Arial" w:cs="Arial"/>
          <w:i/>
          <w:szCs w:val="24"/>
        </w:rPr>
        <w:t>et al.</w:t>
      </w:r>
      <w:r w:rsidRPr="00EB31A5">
        <w:rPr>
          <w:rFonts w:eastAsia="Arial" w:cs="Arial"/>
          <w:szCs w:val="24"/>
        </w:rPr>
        <w:t xml:space="preserve">,   2001; TUCK &amp; HAYBALL, 2002; KORUKLUOGLU </w:t>
      </w:r>
      <w:r w:rsidRPr="00EB31A5">
        <w:rPr>
          <w:rFonts w:eastAsia="Arial" w:cs="Arial"/>
          <w:i/>
          <w:szCs w:val="24"/>
        </w:rPr>
        <w:t>et al.,</w:t>
      </w:r>
      <w:r w:rsidRPr="00EB31A5">
        <w:rPr>
          <w:rFonts w:eastAsia="Arial" w:cs="Arial"/>
          <w:szCs w:val="24"/>
        </w:rPr>
        <w:t xml:space="preserve"> 2004; MICOL </w:t>
      </w:r>
      <w:r w:rsidRPr="00EB31A5">
        <w:rPr>
          <w:rFonts w:eastAsia="Arial" w:cs="Arial"/>
          <w:i/>
          <w:szCs w:val="24"/>
        </w:rPr>
        <w:t>et al.,</w:t>
      </w:r>
      <w:r w:rsidRPr="00EB31A5">
        <w:rPr>
          <w:rFonts w:eastAsia="Arial" w:cs="Arial"/>
          <w:szCs w:val="24"/>
        </w:rPr>
        <w:t xml:space="preserve"> 2005).</w:t>
      </w:r>
    </w:p>
    <w:p w:rsidR="008B3844" w:rsidRPr="00EB31A5" w:rsidRDefault="008B3844" w:rsidP="0019680E">
      <w:pPr>
        <w:jc w:val="both"/>
        <w:rPr>
          <w:rFonts w:eastAsia="Arial" w:cs="Arial"/>
          <w:szCs w:val="24"/>
        </w:rPr>
      </w:pPr>
      <w:r w:rsidRPr="00EB31A5">
        <w:rPr>
          <w:rFonts w:eastAsia="Arial" w:cs="Arial"/>
          <w:szCs w:val="24"/>
        </w:rPr>
        <w:tab/>
        <w:t xml:space="preserve">Nas últimas décadas tem se notado um aumento da incidência de infecções fungicas, e consequentemente, um aumento na resistência desses microrganismos sobre os antifúngicos disponíveis no mercado. No cenário farmacológico atual, a maioria desses antifúngicos apresentam inúmeros problemas relacionados a eficácia, custo e toxicidade. Dessa maneira, os fitoterápicos surgem como uma alternativa para o desenvolvimento de novos fármacos, uma vez que a demanda por produtos mais seletivos e com menor efeito tóxico é crescente. Todavia, o uso indiscriminado de plantas medicinais é preocupante, uma vez que podem surgir efeitos abortivos, teratogênicos e embriotóxicos, devido ao fato de que constituintes da planta podem atravessar a barreira placentária (ABAD </w:t>
      </w:r>
      <w:r w:rsidRPr="00EB31A5">
        <w:rPr>
          <w:rFonts w:eastAsia="Arial" w:cs="Arial"/>
          <w:i/>
          <w:szCs w:val="24"/>
        </w:rPr>
        <w:t>et al</w:t>
      </w:r>
      <w:r w:rsidRPr="00EB31A5">
        <w:rPr>
          <w:rFonts w:eastAsia="Arial" w:cs="Arial"/>
          <w:szCs w:val="24"/>
        </w:rPr>
        <w:t>., 2007; BRASIL, 2002).</w:t>
      </w:r>
    </w:p>
    <w:p w:rsidR="006C1919" w:rsidRPr="00EB31A5" w:rsidRDefault="008B3844" w:rsidP="0019680E">
      <w:pPr>
        <w:jc w:val="both"/>
        <w:rPr>
          <w:rFonts w:eastAsia="Arial" w:cs="Arial"/>
          <w:szCs w:val="24"/>
        </w:rPr>
      </w:pPr>
      <w:r w:rsidRPr="00EB31A5">
        <w:rPr>
          <w:rFonts w:eastAsia="Arial" w:cs="Arial"/>
          <w:szCs w:val="24"/>
        </w:rPr>
        <w:tab/>
      </w:r>
    </w:p>
    <w:p w:rsidR="006C1919" w:rsidRPr="00EB31A5" w:rsidRDefault="006C1919" w:rsidP="0019680E">
      <w:pPr>
        <w:spacing w:after="160"/>
        <w:jc w:val="both"/>
        <w:rPr>
          <w:rFonts w:eastAsia="Arial" w:cs="Arial"/>
          <w:szCs w:val="24"/>
        </w:rPr>
      </w:pPr>
      <w:r w:rsidRPr="00EB31A5">
        <w:rPr>
          <w:rFonts w:eastAsia="Arial" w:cs="Arial"/>
          <w:szCs w:val="24"/>
        </w:rPr>
        <w:br w:type="page"/>
      </w:r>
    </w:p>
    <w:p w:rsidR="008B3844" w:rsidRPr="00EB31A5" w:rsidRDefault="006C1919" w:rsidP="0019680E">
      <w:pPr>
        <w:jc w:val="both"/>
        <w:rPr>
          <w:rFonts w:eastAsia="Arial" w:cs="Arial"/>
          <w:szCs w:val="24"/>
        </w:rPr>
      </w:pPr>
      <w:r w:rsidRPr="00EB31A5">
        <w:rPr>
          <w:rFonts w:eastAsia="Arial" w:cs="Arial"/>
          <w:szCs w:val="24"/>
        </w:rPr>
        <w:lastRenderedPageBreak/>
        <w:tab/>
      </w:r>
      <w:r w:rsidR="008B3844" w:rsidRPr="00EB31A5">
        <w:rPr>
          <w:rFonts w:eastAsia="Arial" w:cs="Arial"/>
          <w:szCs w:val="24"/>
        </w:rPr>
        <w:t xml:space="preserve">Para garantir a utilização dos óleos essenciais livre de risco, são necessários estudos toxicológicos, tendo em vista que os mesmos são produtos mais concentrados de extração de uma espécie vegetal, tendendo assim, a apresentarem uma toxicidade maior que a planta em si. Apesar do crescente interesse do uso de fitoterápicos com finalidades terapêuticas, ainda existem poucos estudos que apresentem informações sobre a toxicidade dos mesmos. De modo que a maioria dos fitoterápicos utilizados atualmente não tem um perfil toxicológico bem delineado (SIMÕES </w:t>
      </w:r>
      <w:r w:rsidR="008B3844" w:rsidRPr="00EB31A5">
        <w:rPr>
          <w:rFonts w:eastAsia="Arial" w:cs="Arial"/>
          <w:i/>
          <w:szCs w:val="24"/>
        </w:rPr>
        <w:t>et al.,</w:t>
      </w:r>
      <w:r w:rsidR="008B3844" w:rsidRPr="00EB31A5">
        <w:rPr>
          <w:rFonts w:eastAsia="Arial" w:cs="Arial"/>
          <w:szCs w:val="24"/>
        </w:rPr>
        <w:t xml:space="preserve"> 2000; VEIGA JUNIOR, 2008). </w:t>
      </w:r>
    </w:p>
    <w:p w:rsidR="006C1919" w:rsidRPr="00EB31A5" w:rsidRDefault="006C1919" w:rsidP="0019680E">
      <w:pPr>
        <w:jc w:val="both"/>
        <w:rPr>
          <w:rFonts w:eastAsia="Arial" w:cs="Arial"/>
          <w:szCs w:val="24"/>
        </w:rPr>
      </w:pPr>
    </w:p>
    <w:p w:rsidR="008B3844" w:rsidRPr="00EB31A5" w:rsidRDefault="006D37B1" w:rsidP="00011AF1">
      <w:pPr>
        <w:pStyle w:val="Ttulo2"/>
      </w:pPr>
      <w:bookmarkStart w:id="13" w:name="_Toc6503287"/>
      <w:bookmarkStart w:id="14" w:name="_Toc6842213"/>
      <w:r>
        <w:t>2.1</w:t>
      </w:r>
      <w:r w:rsidR="008B3844" w:rsidRPr="00EB31A5">
        <w:t xml:space="preserve"> Avaliação toxicológica</w:t>
      </w:r>
      <w:bookmarkEnd w:id="13"/>
      <w:bookmarkEnd w:id="14"/>
    </w:p>
    <w:p w:rsidR="008B3844" w:rsidRPr="00EB31A5" w:rsidRDefault="008B3844" w:rsidP="0019680E">
      <w:pPr>
        <w:jc w:val="both"/>
        <w:rPr>
          <w:rFonts w:eastAsia="Arial" w:cs="Arial"/>
          <w:szCs w:val="24"/>
        </w:rPr>
      </w:pPr>
      <w:r w:rsidRPr="00EB31A5">
        <w:rPr>
          <w:rFonts w:eastAsia="Arial" w:cs="Arial"/>
          <w:szCs w:val="24"/>
        </w:rPr>
        <w:tab/>
        <w:t xml:space="preserve">A legislação brasileira e internacional exige que fitoterápicos e fármacos sejam produzidos ou disponibilizados no mercado para consumo somete após a avaliação rigorosa de suas características. Para tal, devem ser realizados testes que determinem suas atividades toxicológicas e seu potencial mutagênico (SILVA </w:t>
      </w:r>
      <w:r w:rsidRPr="00EB31A5">
        <w:rPr>
          <w:rFonts w:eastAsia="Arial" w:cs="Arial"/>
          <w:i/>
          <w:szCs w:val="24"/>
        </w:rPr>
        <w:t>et al</w:t>
      </w:r>
      <w:r w:rsidRPr="00EB31A5">
        <w:rPr>
          <w:rFonts w:eastAsia="Arial" w:cs="Arial"/>
          <w:szCs w:val="24"/>
        </w:rPr>
        <w:t>, 2003).</w:t>
      </w:r>
    </w:p>
    <w:p w:rsidR="008B3844" w:rsidRPr="00EB31A5" w:rsidRDefault="008B3844" w:rsidP="0019680E">
      <w:pPr>
        <w:jc w:val="both"/>
        <w:rPr>
          <w:rFonts w:eastAsia="Arial" w:cs="Arial"/>
          <w:szCs w:val="24"/>
        </w:rPr>
      </w:pPr>
      <w:r w:rsidRPr="00EB31A5">
        <w:rPr>
          <w:rFonts w:eastAsia="Arial" w:cs="Arial"/>
          <w:szCs w:val="24"/>
        </w:rPr>
        <w:tab/>
        <w:t xml:space="preserve">As exigências quanto as avaliações necessárias para a regulamentação de fármacos e fitoterápicos diferem nos diversos países ou blocos econômicos, mas em geral, os principais protocolos seguidos são os emitidos pela Europa através da </w:t>
      </w:r>
      <w:proofErr w:type="spellStart"/>
      <w:r w:rsidRPr="00EB31A5">
        <w:rPr>
          <w:rFonts w:eastAsia="Arial" w:cs="Arial"/>
          <w:szCs w:val="24"/>
        </w:rPr>
        <w:t>Organization</w:t>
      </w:r>
      <w:proofErr w:type="spellEnd"/>
      <w:r w:rsidRPr="00EB31A5">
        <w:rPr>
          <w:rFonts w:eastAsia="Arial" w:cs="Arial"/>
          <w:szCs w:val="24"/>
        </w:rPr>
        <w:t xml:space="preserve"> for </w:t>
      </w:r>
      <w:proofErr w:type="spellStart"/>
      <w:r w:rsidRPr="00EB31A5">
        <w:rPr>
          <w:rFonts w:eastAsia="Arial" w:cs="Arial"/>
          <w:szCs w:val="24"/>
        </w:rPr>
        <w:t>Ecoomic</w:t>
      </w:r>
      <w:proofErr w:type="spellEnd"/>
      <w:r w:rsidRPr="00EB31A5">
        <w:rPr>
          <w:rFonts w:eastAsia="Arial" w:cs="Arial"/>
          <w:szCs w:val="24"/>
        </w:rPr>
        <w:t xml:space="preserve"> </w:t>
      </w:r>
      <w:proofErr w:type="spellStart"/>
      <w:r w:rsidRPr="00EB31A5">
        <w:rPr>
          <w:rFonts w:eastAsia="Arial" w:cs="Arial"/>
          <w:szCs w:val="24"/>
        </w:rPr>
        <w:t>Cooperation</w:t>
      </w:r>
      <w:proofErr w:type="spellEnd"/>
      <w:r w:rsidRPr="00EB31A5">
        <w:rPr>
          <w:rFonts w:eastAsia="Arial" w:cs="Arial"/>
          <w:szCs w:val="24"/>
        </w:rPr>
        <w:t xml:space="preserve"> </w:t>
      </w:r>
      <w:proofErr w:type="spellStart"/>
      <w:r w:rsidRPr="00EB31A5">
        <w:rPr>
          <w:rFonts w:eastAsia="Arial" w:cs="Arial"/>
          <w:szCs w:val="24"/>
        </w:rPr>
        <w:t>and</w:t>
      </w:r>
      <w:proofErr w:type="spellEnd"/>
      <w:r w:rsidRPr="00EB31A5">
        <w:rPr>
          <w:rFonts w:eastAsia="Arial" w:cs="Arial"/>
          <w:szCs w:val="24"/>
        </w:rPr>
        <w:t xml:space="preserve"> </w:t>
      </w:r>
      <w:proofErr w:type="spellStart"/>
      <w:r w:rsidRPr="00EB31A5">
        <w:rPr>
          <w:rFonts w:eastAsia="Arial" w:cs="Arial"/>
          <w:szCs w:val="24"/>
        </w:rPr>
        <w:t>Development</w:t>
      </w:r>
      <w:proofErr w:type="spellEnd"/>
      <w:r w:rsidRPr="00EB31A5">
        <w:rPr>
          <w:rFonts w:eastAsia="Arial" w:cs="Arial"/>
          <w:szCs w:val="24"/>
        </w:rPr>
        <w:t xml:space="preserve"> (OECD), pelos Estados Unidos da América através do </w:t>
      </w:r>
      <w:proofErr w:type="spellStart"/>
      <w:r w:rsidRPr="00EB31A5">
        <w:rPr>
          <w:rFonts w:eastAsia="Arial" w:cs="Arial"/>
          <w:szCs w:val="24"/>
        </w:rPr>
        <w:t>Food</w:t>
      </w:r>
      <w:proofErr w:type="spellEnd"/>
      <w:r w:rsidRPr="00EB31A5">
        <w:rPr>
          <w:rFonts w:eastAsia="Arial" w:cs="Arial"/>
          <w:szCs w:val="24"/>
        </w:rPr>
        <w:t xml:space="preserve"> </w:t>
      </w:r>
      <w:proofErr w:type="spellStart"/>
      <w:r w:rsidRPr="00EB31A5">
        <w:rPr>
          <w:rFonts w:eastAsia="Arial" w:cs="Arial"/>
          <w:szCs w:val="24"/>
        </w:rPr>
        <w:t>and</w:t>
      </w:r>
      <w:proofErr w:type="spellEnd"/>
      <w:r w:rsidRPr="00EB31A5">
        <w:rPr>
          <w:rFonts w:eastAsia="Arial" w:cs="Arial"/>
          <w:szCs w:val="24"/>
        </w:rPr>
        <w:t xml:space="preserve"> </w:t>
      </w:r>
      <w:proofErr w:type="spellStart"/>
      <w:r w:rsidRPr="00EB31A5">
        <w:rPr>
          <w:rFonts w:eastAsia="Arial" w:cs="Arial"/>
          <w:szCs w:val="24"/>
        </w:rPr>
        <w:t>drug</w:t>
      </w:r>
      <w:proofErr w:type="spellEnd"/>
      <w:r w:rsidRPr="00EB31A5">
        <w:rPr>
          <w:rFonts w:eastAsia="Arial" w:cs="Arial"/>
          <w:szCs w:val="24"/>
        </w:rPr>
        <w:t xml:space="preserve"> </w:t>
      </w:r>
      <w:proofErr w:type="spellStart"/>
      <w:r w:rsidRPr="00EB31A5">
        <w:rPr>
          <w:rFonts w:eastAsia="Arial" w:cs="Arial"/>
          <w:szCs w:val="24"/>
        </w:rPr>
        <w:t>Administration</w:t>
      </w:r>
      <w:proofErr w:type="spellEnd"/>
      <w:r w:rsidRPr="00EB31A5">
        <w:rPr>
          <w:rFonts w:eastAsia="Arial" w:cs="Arial"/>
          <w:szCs w:val="24"/>
        </w:rPr>
        <w:t xml:space="preserve"> (FDA) (SILVA </w:t>
      </w:r>
      <w:r w:rsidRPr="00EB31A5">
        <w:rPr>
          <w:rFonts w:eastAsia="Arial" w:cs="Arial"/>
          <w:i/>
          <w:szCs w:val="24"/>
        </w:rPr>
        <w:t>et al</w:t>
      </w:r>
      <w:r w:rsidRPr="00EB31A5">
        <w:rPr>
          <w:rFonts w:eastAsia="Arial" w:cs="Arial"/>
          <w:szCs w:val="24"/>
        </w:rPr>
        <w:t>, 2003).</w:t>
      </w:r>
    </w:p>
    <w:p w:rsidR="008B3844" w:rsidRPr="00EB31A5" w:rsidRDefault="008B3844" w:rsidP="0019680E">
      <w:pPr>
        <w:jc w:val="both"/>
        <w:rPr>
          <w:rFonts w:eastAsia="Arial" w:cs="Arial"/>
          <w:szCs w:val="24"/>
        </w:rPr>
      </w:pPr>
      <w:r w:rsidRPr="00EB31A5">
        <w:rPr>
          <w:rFonts w:eastAsia="Arial" w:cs="Arial"/>
          <w:szCs w:val="24"/>
        </w:rPr>
        <w:tab/>
        <w:t>No Brasil, a Agência Nacional de Vigilância Sanitária (ANVISA), é quem regula o registro de medicamentos fitoterápicos para uso humano no Brasil, e prevê a realização de estudos de toxicidade pré-clínica. O guia emitido por esse órgão indica métodos padronizados para estudos de toxicidade pré-clínica para fitoterápicos, incluindo toxicidade aguda, toxicidade de doses repetidas (longa duração), e avaliação toxicológica de medicamentos fitoterápicos de uso tópico.  De modo que ensaios de toxicidade reprodutiva são necessários quando o medicamento for indicado para gestantes ou uso de longa duração (ANVISA, 2004).</w:t>
      </w:r>
    </w:p>
    <w:p w:rsidR="006C1919" w:rsidRPr="00EB31A5" w:rsidRDefault="008B3844" w:rsidP="0019680E">
      <w:pPr>
        <w:jc w:val="both"/>
        <w:rPr>
          <w:rFonts w:eastAsia="Arial" w:cs="Arial"/>
          <w:szCs w:val="24"/>
        </w:rPr>
      </w:pPr>
      <w:r w:rsidRPr="00EB31A5">
        <w:rPr>
          <w:rFonts w:eastAsia="Arial" w:cs="Arial"/>
          <w:szCs w:val="24"/>
        </w:rPr>
        <w:tab/>
      </w:r>
    </w:p>
    <w:p w:rsidR="006C1919" w:rsidRPr="00EB31A5" w:rsidRDefault="006C1919" w:rsidP="0019680E">
      <w:pPr>
        <w:spacing w:after="160"/>
        <w:jc w:val="both"/>
        <w:rPr>
          <w:rFonts w:eastAsia="Arial" w:cs="Arial"/>
          <w:szCs w:val="24"/>
        </w:rPr>
      </w:pPr>
      <w:r w:rsidRPr="00EB31A5">
        <w:rPr>
          <w:rFonts w:eastAsia="Arial" w:cs="Arial"/>
          <w:szCs w:val="24"/>
        </w:rPr>
        <w:br w:type="page"/>
      </w:r>
    </w:p>
    <w:p w:rsidR="008B3844" w:rsidRPr="00EB31A5" w:rsidRDefault="006C1919" w:rsidP="0019680E">
      <w:pPr>
        <w:jc w:val="both"/>
        <w:rPr>
          <w:rFonts w:eastAsia="Arial" w:cs="Arial"/>
          <w:szCs w:val="24"/>
        </w:rPr>
      </w:pPr>
      <w:r w:rsidRPr="00EB31A5">
        <w:rPr>
          <w:rFonts w:eastAsia="Arial" w:cs="Arial"/>
          <w:szCs w:val="24"/>
        </w:rPr>
        <w:lastRenderedPageBreak/>
        <w:tab/>
      </w:r>
      <w:r w:rsidR="008B3844" w:rsidRPr="00EB31A5">
        <w:rPr>
          <w:rFonts w:eastAsia="Arial" w:cs="Arial"/>
          <w:szCs w:val="24"/>
        </w:rPr>
        <w:t>Essa regulamentação é de suma importância, uma vez que a busca por plantas medicinais é grande por gestantes, na tentativa de tratar sintomas decorrentes da gestação, principalmente por acreditarem que os fitoterápicos não causam prejuízo ao feto. Todavia, inúmeras substâncias de origem vegetal, apresentaram potencial teratogênico em experimentos em animais (CAMPESATO, 2005). O Ministério da Agricultura Pecuária e Abastecimento (MAPA), órgão responsável pelo registro de medicamentos de uso veterinário, faz as mesmas exigências quanto a avaliação toxicológica, descritas no Decreto 5.053 de 2004 e Portaria 54 de 1999 (BRASIL, 2004).</w:t>
      </w:r>
    </w:p>
    <w:p w:rsidR="006C1919" w:rsidRPr="00EB31A5" w:rsidRDefault="006C1919" w:rsidP="00011AF1">
      <w:pPr>
        <w:pStyle w:val="Ttulo2"/>
        <w:rPr>
          <w:rFonts w:eastAsia="Arial"/>
        </w:rPr>
      </w:pPr>
      <w:bookmarkStart w:id="15" w:name="_Toc6503288"/>
    </w:p>
    <w:p w:rsidR="008B3844" w:rsidRPr="00EB31A5" w:rsidRDefault="008B3844" w:rsidP="00011AF1">
      <w:pPr>
        <w:pStyle w:val="Ttulo2"/>
      </w:pPr>
      <w:bookmarkStart w:id="16" w:name="_Toc6842214"/>
      <w:r w:rsidRPr="00EB31A5">
        <w:t>2.2 Testes sobre a toxicidade reprodutiva</w:t>
      </w:r>
      <w:bookmarkEnd w:id="15"/>
      <w:bookmarkEnd w:id="16"/>
    </w:p>
    <w:p w:rsidR="008B3844" w:rsidRPr="00EB31A5" w:rsidRDefault="008B3844" w:rsidP="0019680E">
      <w:pPr>
        <w:jc w:val="both"/>
        <w:rPr>
          <w:rFonts w:eastAsia="Arial" w:cs="Arial"/>
          <w:szCs w:val="24"/>
        </w:rPr>
      </w:pPr>
      <w:r w:rsidRPr="00EB31A5">
        <w:rPr>
          <w:rFonts w:eastAsia="Arial" w:cs="Arial"/>
          <w:szCs w:val="24"/>
        </w:rPr>
        <w:tab/>
        <w:t>A avaliação toxicológica reprodutiva compreende um estudo com</w:t>
      </w:r>
      <w:r w:rsidRPr="00EB31A5">
        <w:rPr>
          <w:rFonts w:eastAsia="Arial" w:cs="Arial"/>
          <w:szCs w:val="24"/>
        </w:rPr>
        <w:tab/>
        <w:t xml:space="preserve">complexo. Reprodução pode ser descrito como o processo biológico que garante a continuidade das espécies, possibilitando que o material genético existente seja passado às gerações seguintes. Dessa maneira, o ciclo reprodutivo não versa apenas na concepção, gestação e nascimento, mas tem início com a produção dos gametas, continuando pela fertilização e desenvolvimento </w:t>
      </w:r>
      <w:proofErr w:type="spellStart"/>
      <w:r w:rsidRPr="00EB31A5">
        <w:rPr>
          <w:rFonts w:eastAsia="Arial" w:cs="Arial"/>
          <w:szCs w:val="24"/>
        </w:rPr>
        <w:t>embriofetal</w:t>
      </w:r>
      <w:proofErr w:type="spellEnd"/>
      <w:r w:rsidRPr="00EB31A5">
        <w:rPr>
          <w:rFonts w:eastAsia="Arial" w:cs="Arial"/>
          <w:szCs w:val="24"/>
        </w:rPr>
        <w:t>, nascimento e desenvolvimento pós natal, até a maturidade sexual, quando o descendente torna-se um adulto capaz de procriar (MELLO, 2007).</w:t>
      </w:r>
    </w:p>
    <w:p w:rsidR="008B3844" w:rsidRPr="00EB31A5" w:rsidRDefault="008B3844" w:rsidP="0019680E">
      <w:pPr>
        <w:jc w:val="both"/>
        <w:rPr>
          <w:rFonts w:eastAsia="Arial" w:cs="Arial"/>
          <w:szCs w:val="24"/>
        </w:rPr>
      </w:pPr>
      <w:r w:rsidRPr="00EB31A5">
        <w:rPr>
          <w:rFonts w:eastAsia="Arial" w:cs="Arial"/>
          <w:szCs w:val="24"/>
        </w:rPr>
        <w:tab/>
        <w:t xml:space="preserve">O ciclo reprodutivo e suas diferentes fases podem ser afetados por agentes químicos, que podem inibir ou afetar temporariamente a reprodução e/ou causar defeitos de desenvolvimento na prole exposta. Nas fases </w:t>
      </w:r>
      <w:proofErr w:type="spellStart"/>
      <w:r w:rsidRPr="00EB31A5">
        <w:rPr>
          <w:rFonts w:eastAsia="Arial" w:cs="Arial"/>
          <w:szCs w:val="24"/>
        </w:rPr>
        <w:t>pré</w:t>
      </w:r>
      <w:proofErr w:type="spellEnd"/>
      <w:r w:rsidRPr="00EB31A5">
        <w:rPr>
          <w:rFonts w:eastAsia="Arial" w:cs="Arial"/>
          <w:szCs w:val="24"/>
        </w:rPr>
        <w:t xml:space="preserve"> e pós-natal, o sistema nervoso central e os órgãos sexuais que ainda estão sofrendo diferenciação, podem ser afetados por substâncias presentes no sangue materno, através da placenta durante a gestação e do leito durante a amamentação (ZENICK; CLEGG, 1989). Dessa maneira, os estudos de toxicidade reprodutiva devem abranger igualmente todas as fases do ciclo reprodutivo, para que se possa detectar diferentes tipos de agravos que possam via a afetá-las (LÊMONICA, 2001). </w:t>
      </w:r>
    </w:p>
    <w:p w:rsidR="006C1919" w:rsidRPr="00EB31A5" w:rsidRDefault="008B3844" w:rsidP="0019680E">
      <w:pPr>
        <w:jc w:val="both"/>
        <w:rPr>
          <w:rFonts w:eastAsia="Arial" w:cs="Arial"/>
          <w:szCs w:val="24"/>
        </w:rPr>
      </w:pPr>
      <w:r w:rsidRPr="00EB31A5">
        <w:rPr>
          <w:rFonts w:eastAsia="Arial" w:cs="Arial"/>
          <w:szCs w:val="24"/>
        </w:rPr>
        <w:tab/>
      </w:r>
    </w:p>
    <w:p w:rsidR="006C1919" w:rsidRPr="00EB31A5" w:rsidRDefault="006C1919" w:rsidP="0019680E">
      <w:pPr>
        <w:spacing w:after="160"/>
        <w:jc w:val="both"/>
        <w:rPr>
          <w:rFonts w:eastAsia="Arial" w:cs="Arial"/>
          <w:szCs w:val="24"/>
        </w:rPr>
      </w:pPr>
      <w:r w:rsidRPr="00EB31A5">
        <w:rPr>
          <w:rFonts w:eastAsia="Arial" w:cs="Arial"/>
          <w:szCs w:val="24"/>
        </w:rPr>
        <w:br w:type="page"/>
      </w:r>
    </w:p>
    <w:p w:rsidR="008B3844" w:rsidRPr="00EB31A5" w:rsidRDefault="006C1919" w:rsidP="0019680E">
      <w:pPr>
        <w:jc w:val="both"/>
        <w:rPr>
          <w:rFonts w:eastAsia="Arial" w:cs="Arial"/>
          <w:szCs w:val="24"/>
        </w:rPr>
      </w:pPr>
      <w:r w:rsidRPr="00EB31A5">
        <w:rPr>
          <w:rFonts w:eastAsia="Arial" w:cs="Arial"/>
          <w:szCs w:val="24"/>
        </w:rPr>
        <w:lastRenderedPageBreak/>
        <w:tab/>
      </w:r>
      <w:r w:rsidR="008B3844" w:rsidRPr="00EB31A5">
        <w:rPr>
          <w:rFonts w:eastAsia="Arial" w:cs="Arial"/>
          <w:szCs w:val="24"/>
        </w:rPr>
        <w:t xml:space="preserve">Os estudos mais utilizados para avaliação da toxicidade reprodutiva são divididos em três segmentos, adaptando-se das normas da ANVISA com as normas internacionais guiadas pela Environmental </w:t>
      </w:r>
      <w:proofErr w:type="spellStart"/>
      <w:r w:rsidR="008B3844" w:rsidRPr="00EB31A5">
        <w:rPr>
          <w:rFonts w:eastAsia="Arial" w:cs="Arial"/>
          <w:szCs w:val="24"/>
        </w:rPr>
        <w:t>Protection</w:t>
      </w:r>
      <w:proofErr w:type="spellEnd"/>
      <w:r w:rsidR="008B3844" w:rsidRPr="00EB31A5">
        <w:rPr>
          <w:rFonts w:eastAsia="Arial" w:cs="Arial"/>
          <w:szCs w:val="24"/>
        </w:rPr>
        <w:t xml:space="preserve"> </w:t>
      </w:r>
      <w:proofErr w:type="spellStart"/>
      <w:r w:rsidR="008B3844" w:rsidRPr="00EB31A5">
        <w:rPr>
          <w:rFonts w:eastAsia="Arial" w:cs="Arial"/>
          <w:szCs w:val="24"/>
        </w:rPr>
        <w:t>Agency</w:t>
      </w:r>
      <w:proofErr w:type="spellEnd"/>
      <w:r w:rsidR="008B3844" w:rsidRPr="00EB31A5">
        <w:rPr>
          <w:rFonts w:eastAsia="Arial" w:cs="Arial"/>
          <w:szCs w:val="24"/>
        </w:rPr>
        <w:t xml:space="preserve"> (EPA) e recomendadas pela OECD e FDA, são eles: </w:t>
      </w:r>
    </w:p>
    <w:p w:rsidR="008B3844" w:rsidRPr="00EB31A5" w:rsidRDefault="008B3844" w:rsidP="0019680E">
      <w:pPr>
        <w:pStyle w:val="PargrafodaLista"/>
        <w:numPr>
          <w:ilvl w:val="0"/>
          <w:numId w:val="6"/>
        </w:numPr>
        <w:ind w:left="0" w:firstLine="0"/>
        <w:jc w:val="both"/>
        <w:rPr>
          <w:rFonts w:eastAsia="Arial" w:cs="Arial"/>
          <w:szCs w:val="24"/>
        </w:rPr>
      </w:pPr>
      <w:r w:rsidRPr="00EB31A5">
        <w:rPr>
          <w:rFonts w:eastAsia="Arial" w:cs="Arial"/>
          <w:szCs w:val="24"/>
        </w:rPr>
        <w:t xml:space="preserve">Segmento I “Toxicidade crônica e reprodutiva” para avaliação de efeitos sobre a fertilidade de machos e fêmeas antes e durante o acasalamento; </w:t>
      </w:r>
    </w:p>
    <w:p w:rsidR="008B3844" w:rsidRPr="00EB31A5" w:rsidRDefault="008B3844" w:rsidP="0019680E">
      <w:pPr>
        <w:pStyle w:val="PargrafodaLista"/>
        <w:numPr>
          <w:ilvl w:val="0"/>
          <w:numId w:val="6"/>
        </w:numPr>
        <w:ind w:left="0" w:firstLine="0"/>
        <w:jc w:val="both"/>
        <w:rPr>
          <w:rFonts w:eastAsia="Arial" w:cs="Arial"/>
          <w:szCs w:val="24"/>
        </w:rPr>
      </w:pPr>
      <w:r w:rsidRPr="00EB31A5">
        <w:rPr>
          <w:rFonts w:eastAsia="Arial" w:cs="Arial"/>
          <w:szCs w:val="24"/>
        </w:rPr>
        <w:t xml:space="preserve">Segmento II “Toxicidade pré-natal – estudo de teratogênicidade” no qual ocorre a exposição da progênie durante a fase de organogênese; </w:t>
      </w:r>
    </w:p>
    <w:p w:rsidR="008B3844" w:rsidRPr="00EB31A5" w:rsidRDefault="008B3844" w:rsidP="0019680E">
      <w:pPr>
        <w:pStyle w:val="PargrafodaLista"/>
        <w:numPr>
          <w:ilvl w:val="0"/>
          <w:numId w:val="6"/>
        </w:numPr>
        <w:ind w:left="0" w:firstLine="0"/>
        <w:jc w:val="both"/>
        <w:rPr>
          <w:rFonts w:eastAsia="Arial" w:cs="Arial"/>
          <w:szCs w:val="24"/>
        </w:rPr>
      </w:pPr>
      <w:r w:rsidRPr="00EB31A5">
        <w:rPr>
          <w:rFonts w:eastAsia="Arial" w:cs="Arial"/>
          <w:szCs w:val="24"/>
        </w:rPr>
        <w:t xml:space="preserve">Segmento III “Toxicidade </w:t>
      </w:r>
      <w:proofErr w:type="spellStart"/>
      <w:r w:rsidRPr="00EB31A5">
        <w:rPr>
          <w:rFonts w:eastAsia="Arial" w:cs="Arial"/>
          <w:szCs w:val="24"/>
        </w:rPr>
        <w:t>peri</w:t>
      </w:r>
      <w:proofErr w:type="spellEnd"/>
      <w:r w:rsidRPr="00EB31A5">
        <w:rPr>
          <w:rFonts w:eastAsia="Arial" w:cs="Arial"/>
          <w:szCs w:val="24"/>
        </w:rPr>
        <w:t xml:space="preserve"> e pós-natal” onde são avaliados os efeitos sobre o desenvolvimento </w:t>
      </w:r>
      <w:proofErr w:type="spellStart"/>
      <w:r w:rsidRPr="00EB31A5">
        <w:rPr>
          <w:rFonts w:eastAsia="Arial" w:cs="Arial"/>
          <w:szCs w:val="24"/>
        </w:rPr>
        <w:t>pré</w:t>
      </w:r>
      <w:proofErr w:type="spellEnd"/>
      <w:r w:rsidRPr="00EB31A5">
        <w:rPr>
          <w:rFonts w:eastAsia="Arial" w:cs="Arial"/>
          <w:szCs w:val="24"/>
        </w:rPr>
        <w:t xml:space="preserve"> e pós-natal de progênies expostas durante a fase de desenvolvimento fetal e lactacional. </w:t>
      </w:r>
    </w:p>
    <w:p w:rsidR="00EB31A5" w:rsidRDefault="008B3844" w:rsidP="0019680E">
      <w:pPr>
        <w:jc w:val="both"/>
        <w:rPr>
          <w:rFonts w:eastAsia="Arial" w:cs="Arial"/>
          <w:szCs w:val="24"/>
        </w:rPr>
      </w:pPr>
      <w:r w:rsidRPr="00EB31A5">
        <w:rPr>
          <w:rFonts w:eastAsia="Arial" w:cs="Arial"/>
          <w:szCs w:val="24"/>
        </w:rPr>
        <w:tab/>
        <w:t xml:space="preserve">Para estudos de toxicologia, frequentemente utilizam-se ratos </w:t>
      </w:r>
      <w:proofErr w:type="spellStart"/>
      <w:r w:rsidRPr="00EB31A5">
        <w:rPr>
          <w:rFonts w:eastAsia="Arial" w:cs="Arial"/>
          <w:szCs w:val="24"/>
        </w:rPr>
        <w:t>Wistar</w:t>
      </w:r>
      <w:proofErr w:type="spellEnd"/>
      <w:r w:rsidRPr="00EB31A5">
        <w:rPr>
          <w:rFonts w:eastAsia="Arial" w:cs="Arial"/>
          <w:szCs w:val="24"/>
        </w:rPr>
        <w:t xml:space="preserve">, uma linhagem de ratos albinos que são preconizados por serem animais dóceis e por possuírem excelente desempenho reprodutivo (EBISUI, </w:t>
      </w:r>
      <w:r w:rsidRPr="00EB31A5">
        <w:rPr>
          <w:rFonts w:eastAsia="Arial" w:cs="Arial"/>
          <w:i/>
          <w:szCs w:val="24"/>
        </w:rPr>
        <w:t>et al.,</w:t>
      </w:r>
      <w:r w:rsidRPr="00EB31A5">
        <w:rPr>
          <w:rFonts w:eastAsia="Arial" w:cs="Arial"/>
          <w:szCs w:val="24"/>
        </w:rPr>
        <w:t xml:space="preserve"> 2009).</w:t>
      </w:r>
    </w:p>
    <w:p w:rsidR="00EB31A5" w:rsidRDefault="00EB31A5" w:rsidP="0019680E">
      <w:pPr>
        <w:jc w:val="both"/>
        <w:rPr>
          <w:rFonts w:eastAsia="Arial" w:cs="Arial"/>
          <w:szCs w:val="24"/>
        </w:rPr>
      </w:pPr>
    </w:p>
    <w:p w:rsidR="00EB31A5" w:rsidRPr="00EB31A5" w:rsidRDefault="00EB31A5" w:rsidP="0019680E">
      <w:pPr>
        <w:pStyle w:val="Ttulo1"/>
        <w:spacing w:before="120"/>
        <w:jc w:val="both"/>
        <w:rPr>
          <w:rFonts w:cs="Arial"/>
          <w:szCs w:val="24"/>
        </w:rPr>
      </w:pPr>
      <w:bookmarkStart w:id="17" w:name="_Toc6503289"/>
      <w:bookmarkStart w:id="18" w:name="_Toc6842215"/>
      <w:r w:rsidRPr="00EB31A5">
        <w:rPr>
          <w:rFonts w:cs="Arial"/>
          <w:szCs w:val="24"/>
        </w:rPr>
        <w:t>3 OBJETIVOS</w:t>
      </w:r>
      <w:bookmarkEnd w:id="17"/>
      <w:bookmarkEnd w:id="18"/>
    </w:p>
    <w:p w:rsidR="00EB31A5" w:rsidRPr="00EB31A5" w:rsidRDefault="00EB31A5" w:rsidP="00011AF1">
      <w:pPr>
        <w:pStyle w:val="Ttulo2"/>
      </w:pPr>
      <w:bookmarkStart w:id="19" w:name="_Toc6503290"/>
      <w:bookmarkStart w:id="20" w:name="_Toc6842216"/>
      <w:r w:rsidRPr="00EB31A5">
        <w:t>3.1 Objetivo geral</w:t>
      </w:r>
      <w:bookmarkEnd w:id="19"/>
      <w:bookmarkEnd w:id="20"/>
    </w:p>
    <w:p w:rsidR="00EB31A5" w:rsidRPr="00EB31A5" w:rsidRDefault="00EB31A5" w:rsidP="0019680E">
      <w:pPr>
        <w:jc w:val="both"/>
        <w:rPr>
          <w:rFonts w:eastAsia="Arial" w:cs="Arial"/>
          <w:szCs w:val="24"/>
        </w:rPr>
      </w:pPr>
      <w:r w:rsidRPr="00EB31A5">
        <w:rPr>
          <w:rFonts w:eastAsia="Arial" w:cs="Arial"/>
          <w:szCs w:val="24"/>
        </w:rPr>
        <w:tab/>
        <w:t xml:space="preserve">Investigar os potenciais riscos toxicológicos da utilização do óleo essencial de </w:t>
      </w:r>
      <w:r w:rsidRPr="00EB31A5">
        <w:rPr>
          <w:rFonts w:eastAsia="Arial" w:cs="Arial"/>
          <w:i/>
          <w:szCs w:val="24"/>
        </w:rPr>
        <w:t>Olea europaea</w:t>
      </w:r>
      <w:r w:rsidRPr="00EB31A5">
        <w:rPr>
          <w:rFonts w:eastAsia="Arial" w:cs="Arial"/>
          <w:szCs w:val="24"/>
        </w:rPr>
        <w:t xml:space="preserve"> no que se refere à toxicidade crônica e reprodutiva em ratos </w:t>
      </w:r>
      <w:proofErr w:type="spellStart"/>
      <w:r w:rsidRPr="00EB31A5">
        <w:rPr>
          <w:rFonts w:eastAsia="Arial" w:cs="Arial"/>
          <w:szCs w:val="24"/>
        </w:rPr>
        <w:t>Wistar</w:t>
      </w:r>
      <w:proofErr w:type="spellEnd"/>
      <w:r w:rsidRPr="00EB31A5">
        <w:rPr>
          <w:rFonts w:eastAsia="Arial" w:cs="Arial"/>
          <w:szCs w:val="24"/>
        </w:rPr>
        <w:t xml:space="preserve">, contribuindo para a elucidação de questões relacionadas à segurança do seu uso como agente terapêutico que poderiam restringir ou impossibilitar seu uso como insumo farmacêutico. </w:t>
      </w:r>
    </w:p>
    <w:p w:rsidR="00EB31A5" w:rsidRPr="00EB31A5" w:rsidRDefault="00EB31A5" w:rsidP="0019680E">
      <w:pPr>
        <w:jc w:val="both"/>
        <w:rPr>
          <w:rFonts w:eastAsia="Arial" w:cs="Arial"/>
          <w:szCs w:val="24"/>
        </w:rPr>
      </w:pPr>
    </w:p>
    <w:p w:rsidR="00EB31A5" w:rsidRPr="00EB31A5" w:rsidRDefault="00EB31A5" w:rsidP="00011AF1">
      <w:pPr>
        <w:pStyle w:val="Ttulo2"/>
      </w:pPr>
      <w:bookmarkStart w:id="21" w:name="_Toc6503291"/>
      <w:bookmarkStart w:id="22" w:name="_Toc6842217"/>
      <w:r w:rsidRPr="00EB31A5">
        <w:t>3.2 Objetivo específico</w:t>
      </w:r>
      <w:bookmarkEnd w:id="21"/>
      <w:bookmarkEnd w:id="22"/>
    </w:p>
    <w:p w:rsidR="00EB31A5" w:rsidRPr="00EB31A5" w:rsidRDefault="00EB31A5" w:rsidP="0019680E">
      <w:pPr>
        <w:jc w:val="both"/>
        <w:rPr>
          <w:rFonts w:eastAsia="Arial" w:cs="Arial"/>
          <w:szCs w:val="24"/>
        </w:rPr>
      </w:pPr>
      <w:r w:rsidRPr="00EB31A5">
        <w:rPr>
          <w:rFonts w:eastAsia="Arial" w:cs="Arial"/>
          <w:szCs w:val="24"/>
        </w:rPr>
        <w:tab/>
        <w:t xml:space="preserve">Avaliar os efeitos do óleo essencial de </w:t>
      </w:r>
      <w:r w:rsidRPr="00EB31A5">
        <w:rPr>
          <w:rFonts w:eastAsia="Arial" w:cs="Arial"/>
          <w:i/>
          <w:szCs w:val="24"/>
        </w:rPr>
        <w:t>Olea europaea</w:t>
      </w:r>
      <w:r w:rsidRPr="00EB31A5">
        <w:rPr>
          <w:rFonts w:eastAsia="Arial" w:cs="Arial"/>
          <w:szCs w:val="24"/>
        </w:rPr>
        <w:t xml:space="preserve"> sobre a fertilidade de ratos </w:t>
      </w:r>
      <w:proofErr w:type="spellStart"/>
      <w:r w:rsidRPr="00EB31A5">
        <w:rPr>
          <w:rFonts w:eastAsia="Arial" w:cs="Arial"/>
          <w:szCs w:val="24"/>
        </w:rPr>
        <w:t>Wistar</w:t>
      </w:r>
      <w:proofErr w:type="spellEnd"/>
      <w:r w:rsidRPr="00EB31A5">
        <w:rPr>
          <w:rFonts w:eastAsia="Arial" w:cs="Arial"/>
          <w:szCs w:val="24"/>
        </w:rPr>
        <w:t>, machos e fêmeas, formação e maturação espermática, acasalamento e fertilização, desenvolvimento pré-natal, parto e desenvolvimento pós natal, com machos tratados antes e durante o acasalamento e fêmeas antes e durante o acasalamento, na gestação e lactação (Segmento I).</w:t>
      </w:r>
    </w:p>
    <w:p w:rsidR="00EB31A5" w:rsidRPr="00EB31A5" w:rsidRDefault="00EB31A5" w:rsidP="0019680E">
      <w:pPr>
        <w:jc w:val="both"/>
        <w:rPr>
          <w:rFonts w:eastAsia="Arial" w:cs="Arial"/>
          <w:szCs w:val="24"/>
        </w:rPr>
      </w:pPr>
    </w:p>
    <w:p w:rsidR="00EB31A5" w:rsidRPr="00EB31A5" w:rsidRDefault="00EB31A5" w:rsidP="0019680E">
      <w:pPr>
        <w:pStyle w:val="Ttulo1"/>
        <w:spacing w:before="120"/>
        <w:jc w:val="both"/>
      </w:pPr>
      <w:r w:rsidRPr="00EB31A5">
        <w:rPr>
          <w:rFonts w:eastAsia="Arial" w:cs="Arial"/>
          <w:szCs w:val="24"/>
        </w:rPr>
        <w:br w:type="page"/>
      </w:r>
      <w:bookmarkStart w:id="23" w:name="_Toc6842218"/>
      <w:r w:rsidR="006D37B1">
        <w:lastRenderedPageBreak/>
        <w:t xml:space="preserve">4 </w:t>
      </w:r>
      <w:r w:rsidRPr="00EB31A5">
        <w:t>MATERIAIS E MÉTODOS</w:t>
      </w:r>
      <w:bookmarkEnd w:id="23"/>
    </w:p>
    <w:p w:rsidR="00EB31A5" w:rsidRPr="00EB31A5" w:rsidRDefault="006D37B1" w:rsidP="00011AF1">
      <w:pPr>
        <w:pStyle w:val="Ttulo2"/>
      </w:pPr>
      <w:bookmarkStart w:id="24" w:name="_Toc6842219"/>
      <w:r>
        <w:t xml:space="preserve">4.1 </w:t>
      </w:r>
      <w:r w:rsidR="00EB31A5" w:rsidRPr="00EB31A5">
        <w:t>Obtenção do Material Vegetal</w:t>
      </w:r>
      <w:bookmarkEnd w:id="24"/>
      <w:r w:rsidR="00EB31A5" w:rsidRPr="00EB31A5">
        <w:t xml:space="preserve"> </w:t>
      </w:r>
    </w:p>
    <w:p w:rsidR="00EB31A5" w:rsidRPr="00EB31A5" w:rsidRDefault="00EB31A5" w:rsidP="0019680E">
      <w:pPr>
        <w:jc w:val="both"/>
        <w:rPr>
          <w:rFonts w:cs="Arial"/>
          <w:szCs w:val="24"/>
        </w:rPr>
      </w:pPr>
      <w:r w:rsidRPr="00EB31A5">
        <w:rPr>
          <w:rFonts w:cs="Arial"/>
          <w:szCs w:val="24"/>
        </w:rPr>
        <w:tab/>
        <w:t xml:space="preserve">Serão analisadas cinco variedades distintas da </w:t>
      </w:r>
      <w:r w:rsidRPr="00EB31A5">
        <w:rPr>
          <w:rFonts w:cs="Arial"/>
          <w:i/>
          <w:szCs w:val="24"/>
        </w:rPr>
        <w:t>Olea europaea</w:t>
      </w:r>
      <w:r w:rsidRPr="00EB31A5">
        <w:rPr>
          <w:rFonts w:cs="Arial"/>
          <w:szCs w:val="24"/>
        </w:rPr>
        <w:t xml:space="preserve"> (</w:t>
      </w:r>
      <w:proofErr w:type="spellStart"/>
      <w:r w:rsidRPr="00EB31A5">
        <w:rPr>
          <w:rFonts w:cs="Arial"/>
          <w:szCs w:val="24"/>
        </w:rPr>
        <w:t>arbequina</w:t>
      </w:r>
      <w:proofErr w:type="spellEnd"/>
      <w:r w:rsidRPr="00EB31A5">
        <w:rPr>
          <w:rFonts w:cs="Arial"/>
          <w:szCs w:val="24"/>
        </w:rPr>
        <w:t xml:space="preserve">, </w:t>
      </w:r>
      <w:proofErr w:type="spellStart"/>
      <w:r w:rsidRPr="00EB31A5">
        <w:rPr>
          <w:rFonts w:cs="Arial"/>
          <w:szCs w:val="24"/>
        </w:rPr>
        <w:t>koroneiki</w:t>
      </w:r>
      <w:proofErr w:type="spellEnd"/>
      <w:r w:rsidRPr="00EB31A5">
        <w:rPr>
          <w:rFonts w:cs="Arial"/>
          <w:szCs w:val="24"/>
        </w:rPr>
        <w:t xml:space="preserve">, </w:t>
      </w:r>
      <w:proofErr w:type="spellStart"/>
      <w:r w:rsidRPr="00EB31A5">
        <w:rPr>
          <w:rFonts w:cs="Arial"/>
          <w:szCs w:val="24"/>
        </w:rPr>
        <w:t>picual</w:t>
      </w:r>
      <w:proofErr w:type="spellEnd"/>
      <w:r w:rsidRPr="00EB31A5">
        <w:rPr>
          <w:rFonts w:cs="Arial"/>
          <w:szCs w:val="24"/>
        </w:rPr>
        <w:t xml:space="preserve">, </w:t>
      </w:r>
      <w:proofErr w:type="spellStart"/>
      <w:r w:rsidRPr="00EB31A5">
        <w:rPr>
          <w:rFonts w:cs="Arial"/>
          <w:szCs w:val="24"/>
        </w:rPr>
        <w:t>coratina</w:t>
      </w:r>
      <w:proofErr w:type="spellEnd"/>
      <w:r w:rsidRPr="00EB31A5">
        <w:rPr>
          <w:rFonts w:cs="Arial"/>
          <w:szCs w:val="24"/>
        </w:rPr>
        <w:t xml:space="preserve"> e </w:t>
      </w:r>
      <w:proofErr w:type="spellStart"/>
      <w:r w:rsidRPr="00EB31A5">
        <w:rPr>
          <w:rFonts w:cs="Arial"/>
          <w:szCs w:val="24"/>
        </w:rPr>
        <w:t>frantoio</w:t>
      </w:r>
      <w:proofErr w:type="spellEnd"/>
      <w:r w:rsidRPr="00EB31A5">
        <w:rPr>
          <w:rFonts w:cs="Arial"/>
          <w:szCs w:val="24"/>
        </w:rPr>
        <w:t>), produzidos na Fazenda Guarda Velha (31º30’</w:t>
      </w:r>
      <w:proofErr w:type="gramStart"/>
      <w:r w:rsidRPr="00EB31A5">
        <w:rPr>
          <w:rFonts w:cs="Arial"/>
          <w:szCs w:val="24"/>
        </w:rPr>
        <w:t>02”S</w:t>
      </w:r>
      <w:proofErr w:type="gramEnd"/>
      <w:r w:rsidRPr="00EB31A5">
        <w:rPr>
          <w:rFonts w:cs="Arial"/>
          <w:szCs w:val="24"/>
        </w:rPr>
        <w:t>; 53º30’29”O), no município de Pinheiro Machado/RS. As folhas secas e o fruto (bagaço) das plantas serão encaminhados ao Centro de Ciências Químicas, Farmacêuticas e de Alimentos da Universidade Federal de Pelotas (</w:t>
      </w:r>
      <w:proofErr w:type="spellStart"/>
      <w:r w:rsidRPr="00EB31A5">
        <w:rPr>
          <w:rFonts w:cs="Arial"/>
          <w:szCs w:val="24"/>
        </w:rPr>
        <w:t>UFPel</w:t>
      </w:r>
      <w:proofErr w:type="spellEnd"/>
      <w:r w:rsidRPr="00EB31A5">
        <w:rPr>
          <w:rFonts w:cs="Arial"/>
          <w:szCs w:val="24"/>
        </w:rPr>
        <w:t xml:space="preserve">). </w:t>
      </w:r>
    </w:p>
    <w:p w:rsidR="00EB31A5" w:rsidRPr="00EB31A5" w:rsidRDefault="00EB31A5" w:rsidP="0019680E">
      <w:pPr>
        <w:jc w:val="both"/>
        <w:rPr>
          <w:rFonts w:cs="Arial"/>
          <w:szCs w:val="24"/>
        </w:rPr>
      </w:pPr>
      <w:r w:rsidRPr="00EB31A5">
        <w:rPr>
          <w:rFonts w:cs="Arial"/>
          <w:szCs w:val="24"/>
        </w:rPr>
        <w:tab/>
        <w:t xml:space="preserve">O óleo essencial será obtido através de extração das folhas secas e do bagaço com arraste de vapor em aparelho </w:t>
      </w:r>
      <w:proofErr w:type="spellStart"/>
      <w:r w:rsidRPr="00EB31A5">
        <w:rPr>
          <w:rFonts w:cs="Arial"/>
          <w:i/>
          <w:szCs w:val="24"/>
        </w:rPr>
        <w:t>Clevenger</w:t>
      </w:r>
      <w:proofErr w:type="spellEnd"/>
      <w:r w:rsidRPr="00EB31A5">
        <w:rPr>
          <w:rFonts w:cs="Arial"/>
          <w:szCs w:val="24"/>
        </w:rPr>
        <w:t xml:space="preserve">, segundo Farmacopeia Brasileira IV, durante 4 horas. Após a obtenção do óleo, serão dessecados com sulfato de sódio anidro </w:t>
      </w:r>
      <w:proofErr w:type="spellStart"/>
      <w:r w:rsidRPr="00EB31A5">
        <w:rPr>
          <w:rFonts w:cs="Arial"/>
          <w:szCs w:val="24"/>
        </w:rPr>
        <w:t>p.a</w:t>
      </w:r>
      <w:proofErr w:type="spellEnd"/>
      <w:r w:rsidRPr="00EB31A5">
        <w:rPr>
          <w:rFonts w:cs="Arial"/>
          <w:szCs w:val="24"/>
        </w:rPr>
        <w:t>, armazenado em frasco âmbar, e mantido sob refrigeração até a utilização (BRASIL, 2010; SANTIN, 2013).</w:t>
      </w:r>
    </w:p>
    <w:p w:rsidR="00EB31A5" w:rsidRDefault="00EB31A5" w:rsidP="0019680E">
      <w:pPr>
        <w:jc w:val="both"/>
        <w:rPr>
          <w:rFonts w:cs="Arial"/>
          <w:szCs w:val="24"/>
        </w:rPr>
      </w:pPr>
      <w:r w:rsidRPr="00EB31A5">
        <w:rPr>
          <w:rFonts w:cs="Arial"/>
          <w:szCs w:val="24"/>
        </w:rPr>
        <w:tab/>
        <w:t xml:space="preserve">Será injetado 1µL de soluções de concentrações variadas dos padrões em </w:t>
      </w:r>
      <w:proofErr w:type="spellStart"/>
      <w:r w:rsidRPr="00EB31A5">
        <w:rPr>
          <w:rFonts w:cs="Arial"/>
          <w:szCs w:val="24"/>
        </w:rPr>
        <w:t>cromatógrafo</w:t>
      </w:r>
      <w:proofErr w:type="spellEnd"/>
      <w:r w:rsidRPr="00EB31A5">
        <w:rPr>
          <w:rFonts w:cs="Arial"/>
          <w:szCs w:val="24"/>
        </w:rPr>
        <w:t xml:space="preserve"> gasoso com espectrômetro de massa (GC/MS) acoplado a um detector de ionização de chama. Os constituintes serão identificados por comparação entre o tempo de retenção dos padrões e das amostras (BRASIL, 2010).</w:t>
      </w:r>
    </w:p>
    <w:p w:rsidR="00EB31A5" w:rsidRPr="00EB31A5" w:rsidRDefault="00EB31A5" w:rsidP="0019680E">
      <w:pPr>
        <w:jc w:val="both"/>
        <w:rPr>
          <w:rFonts w:cs="Arial"/>
          <w:szCs w:val="24"/>
        </w:rPr>
      </w:pPr>
    </w:p>
    <w:p w:rsidR="00EB31A5" w:rsidRDefault="00EB31A5" w:rsidP="00011AF1">
      <w:pPr>
        <w:pStyle w:val="Ttulo2"/>
      </w:pPr>
      <w:bookmarkStart w:id="25" w:name="_Toc6842220"/>
      <w:r w:rsidRPr="00EB31A5">
        <w:t xml:space="preserve">4.2 Protocolo Experimental </w:t>
      </w:r>
      <w:r>
        <w:t>de</w:t>
      </w:r>
      <w:r w:rsidRPr="00EB31A5">
        <w:t xml:space="preserve"> Toxicidade Crônica e Reprodutiva (Segmento I)</w:t>
      </w:r>
      <w:bookmarkEnd w:id="25"/>
    </w:p>
    <w:p w:rsidR="00EB31A5" w:rsidRPr="00EB31A5" w:rsidRDefault="006D37B1" w:rsidP="0019680E">
      <w:pPr>
        <w:pStyle w:val="Ttulo3"/>
        <w:jc w:val="both"/>
      </w:pPr>
      <w:bookmarkStart w:id="26" w:name="_Toc6842221"/>
      <w:r>
        <w:t xml:space="preserve">4.2.1 </w:t>
      </w:r>
      <w:r w:rsidR="00EB31A5" w:rsidRPr="00EB31A5">
        <w:t>Animais</w:t>
      </w:r>
      <w:bookmarkEnd w:id="26"/>
    </w:p>
    <w:p w:rsidR="00EB31A5" w:rsidRDefault="00EB31A5" w:rsidP="0019680E">
      <w:pPr>
        <w:jc w:val="both"/>
        <w:rPr>
          <w:rFonts w:cs="Arial"/>
          <w:szCs w:val="24"/>
        </w:rPr>
      </w:pPr>
      <w:r w:rsidRPr="00EB31A5">
        <w:rPr>
          <w:rFonts w:cs="Arial"/>
          <w:szCs w:val="24"/>
        </w:rPr>
        <w:tab/>
        <w:t xml:space="preserve">Serão utilizados ratos albinos </w:t>
      </w:r>
      <w:proofErr w:type="spellStart"/>
      <w:r w:rsidRPr="00EB31A5">
        <w:rPr>
          <w:rFonts w:cs="Arial"/>
          <w:szCs w:val="24"/>
        </w:rPr>
        <w:t>Wistar</w:t>
      </w:r>
      <w:proofErr w:type="spellEnd"/>
      <w:r w:rsidRPr="00EB31A5">
        <w:rPr>
          <w:rFonts w:cs="Arial"/>
          <w:szCs w:val="24"/>
        </w:rPr>
        <w:t xml:space="preserve"> (</w:t>
      </w:r>
      <w:proofErr w:type="spellStart"/>
      <w:r w:rsidRPr="00EB31A5">
        <w:rPr>
          <w:rFonts w:cs="Arial"/>
          <w:i/>
          <w:szCs w:val="24"/>
        </w:rPr>
        <w:t>Rattus</w:t>
      </w:r>
      <w:proofErr w:type="spellEnd"/>
      <w:r w:rsidRPr="00EB31A5">
        <w:rPr>
          <w:rFonts w:cs="Arial"/>
          <w:i/>
          <w:szCs w:val="24"/>
        </w:rPr>
        <w:t xml:space="preserve"> </w:t>
      </w:r>
      <w:proofErr w:type="spellStart"/>
      <w:r w:rsidRPr="00EB31A5">
        <w:rPr>
          <w:rFonts w:cs="Arial"/>
          <w:i/>
          <w:szCs w:val="24"/>
        </w:rPr>
        <w:t>norvegicus</w:t>
      </w:r>
      <w:proofErr w:type="spellEnd"/>
      <w:r w:rsidRPr="00EB31A5">
        <w:rPr>
          <w:rFonts w:cs="Arial"/>
          <w:szCs w:val="24"/>
        </w:rPr>
        <w:t xml:space="preserve">) (40 machos e 120 fêmeas) com idade inicial de 90 dias e com padrão sanitário convencional, provenientes do Centro de Reprodução e Experimentação de Animais de Laboratório da UFRGS (CREAL). O número de animais utilizados segue os protocolos de toxicidade reprodutiva aprovados pelos órgãos regulamentadores FDA, OECD e ANVISA, onde, para estudos de toxicidade envolvendo </w:t>
      </w:r>
      <w:proofErr w:type="spellStart"/>
      <w:r w:rsidRPr="00EB31A5">
        <w:rPr>
          <w:rFonts w:cs="Arial"/>
          <w:szCs w:val="24"/>
        </w:rPr>
        <w:t>multigerações</w:t>
      </w:r>
      <w:proofErr w:type="spellEnd"/>
      <w:r w:rsidRPr="00EB31A5">
        <w:rPr>
          <w:rFonts w:cs="Arial"/>
          <w:szCs w:val="24"/>
        </w:rPr>
        <w:t>, preconiza-se que sejam obtidas pelo menos 20 gestações para cada grupo em cada geração (EPA, 1996).</w:t>
      </w:r>
    </w:p>
    <w:p w:rsidR="00C43B92" w:rsidRDefault="00C43B92" w:rsidP="0019680E">
      <w:pPr>
        <w:jc w:val="both"/>
        <w:rPr>
          <w:rFonts w:cs="Arial"/>
          <w:szCs w:val="24"/>
        </w:rPr>
      </w:pPr>
    </w:p>
    <w:p w:rsidR="00C43B92" w:rsidRPr="00EB31A5" w:rsidRDefault="00C43B92" w:rsidP="0019680E">
      <w:pPr>
        <w:jc w:val="both"/>
        <w:rPr>
          <w:rFonts w:cs="Arial"/>
          <w:szCs w:val="24"/>
        </w:rPr>
      </w:pPr>
    </w:p>
    <w:p w:rsidR="00EB31A5" w:rsidRPr="00EB31A5" w:rsidRDefault="00EB31A5" w:rsidP="0019680E">
      <w:pPr>
        <w:jc w:val="both"/>
        <w:rPr>
          <w:rFonts w:cs="Arial"/>
          <w:szCs w:val="24"/>
        </w:rPr>
      </w:pPr>
      <w:r w:rsidRPr="00EB31A5">
        <w:rPr>
          <w:rFonts w:cs="Arial"/>
          <w:szCs w:val="24"/>
        </w:rPr>
        <w:lastRenderedPageBreak/>
        <w:tab/>
        <w:t xml:space="preserve">Durante todo o período experimental, os animais serão mantidos no CREAL em condição constante de umidade (30-70%), temperatura (21ºC ± 2) e ciclo de luz claro/escuro de 12 horas (das 8h00min às 20h00min). Serão alimentados com ração comercial </w:t>
      </w:r>
      <w:proofErr w:type="spellStart"/>
      <w:r w:rsidRPr="00EB31A5">
        <w:rPr>
          <w:rFonts w:cs="Arial"/>
          <w:szCs w:val="24"/>
        </w:rPr>
        <w:t>Nuvilab</w:t>
      </w:r>
      <w:proofErr w:type="spellEnd"/>
      <w:r w:rsidRPr="00EB31A5">
        <w:rPr>
          <w:rFonts w:cs="Arial"/>
          <w:szCs w:val="24"/>
        </w:rPr>
        <w:t xml:space="preserve"> CR 1 (</w:t>
      </w:r>
      <w:proofErr w:type="spellStart"/>
      <w:r w:rsidRPr="00EB31A5">
        <w:rPr>
          <w:rFonts w:cs="Arial"/>
          <w:szCs w:val="24"/>
        </w:rPr>
        <w:t>Nuvital</w:t>
      </w:r>
      <w:proofErr w:type="spellEnd"/>
      <w:r w:rsidRPr="00EB31A5">
        <w:rPr>
          <w:rFonts w:cs="Arial"/>
          <w:szCs w:val="24"/>
        </w:rPr>
        <w:t xml:space="preserve">, Colombo/PR) e água </w:t>
      </w:r>
      <w:r w:rsidRPr="00EB31A5">
        <w:rPr>
          <w:rFonts w:cs="Arial"/>
          <w:i/>
          <w:szCs w:val="24"/>
        </w:rPr>
        <w:t>ad libitum</w:t>
      </w:r>
      <w:r w:rsidRPr="00EB31A5">
        <w:rPr>
          <w:rFonts w:cs="Arial"/>
          <w:szCs w:val="24"/>
        </w:rPr>
        <w:t xml:space="preserve">. </w:t>
      </w:r>
    </w:p>
    <w:p w:rsidR="00EB31A5" w:rsidRPr="00EB31A5" w:rsidRDefault="00EB31A5" w:rsidP="0019680E">
      <w:pPr>
        <w:jc w:val="both"/>
        <w:rPr>
          <w:rFonts w:cs="Arial"/>
          <w:szCs w:val="24"/>
        </w:rPr>
      </w:pPr>
      <w:r w:rsidRPr="00EB31A5">
        <w:rPr>
          <w:rFonts w:cs="Arial"/>
          <w:szCs w:val="24"/>
        </w:rPr>
        <w:tab/>
        <w:t>Os machos serão mantidos em caixas de polipropileno individuais medindo 40 x 33 x 18 cm contendo maravalha, pois durante o período de acasalamento serão adicionadas três fêmeas na caixa de cada macho. Exceto durante o período de acasalamento e gestação, as fêmeas serão mantidas em grupos de cinco animais por caixa de polipropileno medindo 40 x 33 x 18 cm, visando proporcionar melhor bem-estar aos animais, tendo em vista que a espécie utilizada no experimento é sociável e vive em grupo. Para que haja um monitoramento do consumo de água e ração durante os períodos de acasalamento e gestação, as fêmeas serão mantidas em caixas de polipropileno individuais contendo maravalha, com as medidas de 40 x 33 x 18 cm.</w:t>
      </w:r>
    </w:p>
    <w:p w:rsidR="00EB31A5" w:rsidRPr="00EB31A5" w:rsidRDefault="00EB31A5" w:rsidP="0019680E">
      <w:pPr>
        <w:jc w:val="both"/>
        <w:rPr>
          <w:rFonts w:cs="Arial"/>
          <w:szCs w:val="24"/>
        </w:rPr>
      </w:pPr>
      <w:r w:rsidRPr="00EB31A5">
        <w:rPr>
          <w:rFonts w:cs="Arial"/>
          <w:szCs w:val="24"/>
        </w:rPr>
        <w:tab/>
        <w:t>O alojamento, manejo e eutanásia dos animais seguirão a Lei Nº 11.794, de 8 de outubro de 2008 (BRASIL, 2008) e o Decreto Nº 6.899, de 15 de julho de 2009 (BRASIL, 2009), e os princípios éticos na experimentação animal do Conselho Nacional de Controle de Experimentação Animal (CONCEA, 2016). Bem como, a Resolução Normativa Nº 37, de 15 de fevereiro de 2018 e as Diretrizes da Prática de Eutanásia do CONCEA (2018). Serão observadas, também, as orientações da Resolução Nº 1.000, de 11 de maio de 2012, do Conselho Federal de Medicina Veterinária (CFMV, 2012) e o “Guia brasileiro de boas práticas para eutanásia em animais”, elaborado pela Comissão de Ética, Bioética e Bem-estar Animal do CFMV (2012).</w:t>
      </w:r>
    </w:p>
    <w:p w:rsidR="00EB31A5" w:rsidRPr="00EB31A5" w:rsidRDefault="00EB31A5" w:rsidP="0019680E">
      <w:pPr>
        <w:jc w:val="both"/>
        <w:rPr>
          <w:rFonts w:cs="Arial"/>
          <w:szCs w:val="24"/>
        </w:rPr>
      </w:pPr>
      <w:r w:rsidRPr="00EB31A5">
        <w:rPr>
          <w:rFonts w:cs="Arial"/>
          <w:szCs w:val="24"/>
        </w:rPr>
        <w:tab/>
        <w:t>A fase experimental somente será iniciada após aprovação pelo Comitê de Ética na Utilização dos Animais da UFRGS.</w:t>
      </w:r>
    </w:p>
    <w:p w:rsidR="00EB31A5" w:rsidRDefault="00EB31A5" w:rsidP="0019680E">
      <w:pPr>
        <w:jc w:val="both"/>
        <w:rPr>
          <w:rFonts w:cs="Arial"/>
          <w:szCs w:val="24"/>
        </w:rPr>
      </w:pPr>
      <w:r w:rsidRPr="00EB31A5">
        <w:rPr>
          <w:rFonts w:cs="Arial"/>
          <w:szCs w:val="24"/>
        </w:rPr>
        <w:t>Conforme o Guia de Severidade dos Procedimentos Científicos (CEUA/UFRGS, 2009), estudos de toxicidade crônica com desfecho não letal são caracterizados como de grau moderado. Todos os procedimentos do ensaio serão conduzidos por profissionais habilitados, visando minimização o sofrimento animal e aplicação de sacrifícios humanizados.</w:t>
      </w:r>
    </w:p>
    <w:p w:rsidR="00C43B92" w:rsidRDefault="00C43B92">
      <w:pPr>
        <w:spacing w:before="0" w:after="160" w:line="259" w:lineRule="auto"/>
        <w:rPr>
          <w:rFonts w:cs="Arial"/>
          <w:sz w:val="16"/>
          <w:szCs w:val="16"/>
        </w:rPr>
      </w:pPr>
      <w:r>
        <w:rPr>
          <w:rFonts w:cs="Arial"/>
          <w:sz w:val="16"/>
          <w:szCs w:val="16"/>
        </w:rPr>
        <w:br w:type="page"/>
      </w:r>
    </w:p>
    <w:p w:rsidR="00EB31A5" w:rsidRPr="00EB31A5" w:rsidRDefault="00EB31A5" w:rsidP="0019680E">
      <w:pPr>
        <w:pStyle w:val="Ttulo3"/>
        <w:jc w:val="both"/>
      </w:pPr>
      <w:bookmarkStart w:id="27" w:name="_Toc6842222"/>
      <w:r w:rsidRPr="00EB31A5">
        <w:lastRenderedPageBreak/>
        <w:t>4.2.2</w:t>
      </w:r>
      <w:r w:rsidRPr="00EB31A5">
        <w:tab/>
        <w:t>Justificativa do Número de Animais</w:t>
      </w:r>
      <w:bookmarkEnd w:id="27"/>
    </w:p>
    <w:p w:rsidR="00EB31A5" w:rsidRDefault="00EB31A5" w:rsidP="0019680E">
      <w:pPr>
        <w:jc w:val="both"/>
        <w:rPr>
          <w:rFonts w:cs="Arial"/>
          <w:szCs w:val="24"/>
        </w:rPr>
      </w:pPr>
      <w:r w:rsidRPr="00EB31A5">
        <w:rPr>
          <w:rFonts w:cs="Arial"/>
          <w:szCs w:val="24"/>
        </w:rPr>
        <w:tab/>
        <w:t xml:space="preserve">O número de animais utilizado segue os protocolos de toxicidade reprodutiva aprovados pelos órgãos regulamentadores FDA, OECD e ANVISA, onde, para estudos de toxicidade envolvendo </w:t>
      </w:r>
      <w:proofErr w:type="spellStart"/>
      <w:r w:rsidRPr="00EB31A5">
        <w:rPr>
          <w:rFonts w:cs="Arial"/>
          <w:szCs w:val="24"/>
        </w:rPr>
        <w:t>multigerações</w:t>
      </w:r>
      <w:proofErr w:type="spellEnd"/>
      <w:r w:rsidRPr="00EB31A5">
        <w:rPr>
          <w:rFonts w:cs="Arial"/>
          <w:szCs w:val="24"/>
        </w:rPr>
        <w:t xml:space="preserve">, preconiza-se que sejam obtidas pelo menos 20 gestações para cada grupo em cada geração (EPA, 1996). Considerando-se a taxa de </w:t>
      </w:r>
      <w:proofErr w:type="spellStart"/>
      <w:r w:rsidRPr="00EB31A5">
        <w:rPr>
          <w:rFonts w:cs="Arial"/>
          <w:szCs w:val="24"/>
        </w:rPr>
        <w:t>prenhez</w:t>
      </w:r>
      <w:proofErr w:type="spellEnd"/>
      <w:r w:rsidRPr="00EB31A5">
        <w:rPr>
          <w:rFonts w:cs="Arial"/>
          <w:szCs w:val="24"/>
        </w:rPr>
        <w:t xml:space="preserve"> esperada entre 70 e 75%, foram definidos grupos teste e controle contendo 30 fêmeas cada.</w:t>
      </w:r>
    </w:p>
    <w:p w:rsidR="00C43B92" w:rsidRDefault="00C43B92" w:rsidP="0019680E">
      <w:pPr>
        <w:jc w:val="both"/>
        <w:rPr>
          <w:rFonts w:cs="Arial"/>
          <w:szCs w:val="24"/>
        </w:rPr>
      </w:pPr>
    </w:p>
    <w:p w:rsidR="00EB31A5" w:rsidRPr="00EB31A5" w:rsidRDefault="006D37B1" w:rsidP="0019680E">
      <w:pPr>
        <w:jc w:val="both"/>
        <w:rPr>
          <w:rFonts w:cs="Arial"/>
          <w:szCs w:val="24"/>
        </w:rPr>
      </w:pPr>
      <w:r>
        <w:rPr>
          <w:rFonts w:cs="Arial"/>
          <w:szCs w:val="24"/>
        </w:rPr>
        <w:t xml:space="preserve">4.2.3 </w:t>
      </w:r>
      <w:r w:rsidR="00EB31A5" w:rsidRPr="00EB31A5">
        <w:rPr>
          <w:rFonts w:cs="Arial"/>
          <w:szCs w:val="24"/>
        </w:rPr>
        <w:t>Delineamento Experimental</w:t>
      </w:r>
    </w:p>
    <w:p w:rsidR="00EB31A5" w:rsidRPr="00EB31A5" w:rsidRDefault="00EB31A5" w:rsidP="0019680E">
      <w:pPr>
        <w:jc w:val="both"/>
        <w:rPr>
          <w:rFonts w:cs="Arial"/>
          <w:szCs w:val="24"/>
        </w:rPr>
      </w:pPr>
      <w:r w:rsidRPr="00EB31A5">
        <w:rPr>
          <w:rFonts w:cs="Arial"/>
          <w:szCs w:val="24"/>
        </w:rPr>
        <w:tab/>
        <w:t>A toxicidade será avaliada utilizando-se três doses espaçadas geometricamente, conforme recomendado pela OECD/OCDE (2001) e FDA (1994). Segundo a OECD/OCDE (2001), deve ser escolhida a menor dose que não tenha produzido qualquer toxicidade materna ou no desenvolvimento fetal (NOAEL), a dose intermediária que tenha apresentado mínimos efeitos tóxicos observáveis e a dose mais alta que tenha produzido alguma toxicidade (sinais clínicos ou diminuição do peso corporal), mas que não tenha causado sofrimento grave aos animais. As doses a serem testadas (500 mg/kg/dia, 1000 mg/kg/dia e 2000 mg/kg/dia) foram definidas com base no estudo realizado por CHRISTIAN et al. (2004), onde foi estabelecida a dose NOAEL de 2000 mg/kg/dia para estudos com doses repetidas em ratos tratados com extrato aquoso de polpa de oliva.</w:t>
      </w:r>
    </w:p>
    <w:p w:rsidR="00EB31A5" w:rsidRPr="00EB31A5" w:rsidRDefault="00EB31A5" w:rsidP="0019680E">
      <w:pPr>
        <w:jc w:val="both"/>
        <w:rPr>
          <w:rFonts w:cs="Arial"/>
          <w:szCs w:val="24"/>
        </w:rPr>
      </w:pPr>
      <w:r w:rsidRPr="00EB31A5">
        <w:rPr>
          <w:rFonts w:cs="Arial"/>
          <w:szCs w:val="24"/>
        </w:rPr>
        <w:tab/>
        <w:t>O volume administrado será idêntico em todos os grupos. Todos os animais serão tratados diariamente, por via oral, através de sonda gástrica flexível em volume correspondente a 10 ml/kg. A diferença será a dose de óleo essencial na solução administrada, que será de 2000 mg/kg/dia, 1000 mg/kg/dia e 500 mg/kg/dia. Dessa forma, os grupos serão divididos da seguinte maneira:</w:t>
      </w:r>
    </w:p>
    <w:p w:rsidR="00EB31A5" w:rsidRPr="00EB31A5" w:rsidRDefault="00EB31A5" w:rsidP="0019680E">
      <w:pPr>
        <w:pStyle w:val="PargrafodaLista"/>
        <w:numPr>
          <w:ilvl w:val="0"/>
          <w:numId w:val="7"/>
        </w:numPr>
        <w:spacing w:after="160"/>
        <w:ind w:firstLine="0"/>
        <w:jc w:val="both"/>
        <w:rPr>
          <w:rFonts w:cs="Arial"/>
          <w:szCs w:val="24"/>
        </w:rPr>
      </w:pPr>
      <w:r w:rsidRPr="00EB31A5">
        <w:rPr>
          <w:rFonts w:cs="Arial"/>
          <w:szCs w:val="24"/>
        </w:rPr>
        <w:t xml:space="preserve">GRUPO I. </w:t>
      </w:r>
      <w:r w:rsidRPr="00EB31A5">
        <w:rPr>
          <w:rFonts w:cs="Arial"/>
          <w:b/>
          <w:szCs w:val="24"/>
        </w:rPr>
        <w:t xml:space="preserve">Controle negativo </w:t>
      </w:r>
      <w:r w:rsidRPr="00EB31A5">
        <w:rPr>
          <w:rFonts w:cs="Arial"/>
          <w:szCs w:val="24"/>
        </w:rPr>
        <w:t xml:space="preserve">– tratado com emulsão contendo </w:t>
      </w:r>
      <w:proofErr w:type="spellStart"/>
      <w:r w:rsidRPr="00EB31A5">
        <w:rPr>
          <w:rFonts w:cs="Arial"/>
          <w:szCs w:val="24"/>
        </w:rPr>
        <w:t>Tween</w:t>
      </w:r>
      <w:proofErr w:type="spellEnd"/>
      <w:r w:rsidRPr="00EB31A5">
        <w:rPr>
          <w:rFonts w:cs="Arial"/>
          <w:szCs w:val="24"/>
        </w:rPr>
        <w:t xml:space="preserve"> 80 (3%) e água destilada (MONDELLO et al., 2006).</w:t>
      </w:r>
    </w:p>
    <w:p w:rsidR="00EB31A5" w:rsidRPr="00EB31A5" w:rsidRDefault="00EB31A5" w:rsidP="0019680E">
      <w:pPr>
        <w:pStyle w:val="PargrafodaLista"/>
        <w:numPr>
          <w:ilvl w:val="0"/>
          <w:numId w:val="7"/>
        </w:numPr>
        <w:spacing w:after="160"/>
        <w:ind w:firstLine="0"/>
        <w:jc w:val="both"/>
        <w:rPr>
          <w:rFonts w:cs="Arial"/>
          <w:szCs w:val="24"/>
        </w:rPr>
      </w:pPr>
      <w:r w:rsidRPr="00EB31A5">
        <w:rPr>
          <w:rFonts w:cs="Arial"/>
          <w:szCs w:val="24"/>
        </w:rPr>
        <w:t xml:space="preserve">GRUPO II. </w:t>
      </w:r>
      <w:r w:rsidRPr="00EB31A5">
        <w:rPr>
          <w:rFonts w:cs="Arial"/>
          <w:b/>
          <w:szCs w:val="24"/>
        </w:rPr>
        <w:t>Dose 1</w:t>
      </w:r>
      <w:r w:rsidRPr="00EB31A5">
        <w:rPr>
          <w:rFonts w:cs="Arial"/>
          <w:szCs w:val="24"/>
        </w:rPr>
        <w:t xml:space="preserve"> – tratado com 2000 mg/kg/dia de óleo essencial diluído em emulsão contendo </w:t>
      </w:r>
      <w:proofErr w:type="spellStart"/>
      <w:r w:rsidRPr="00EB31A5">
        <w:rPr>
          <w:rFonts w:cs="Arial"/>
          <w:szCs w:val="24"/>
        </w:rPr>
        <w:t>Tween</w:t>
      </w:r>
      <w:proofErr w:type="spellEnd"/>
      <w:r w:rsidRPr="00EB31A5">
        <w:rPr>
          <w:rFonts w:cs="Arial"/>
          <w:szCs w:val="24"/>
        </w:rPr>
        <w:t xml:space="preserve"> 80 (3%) e água destilada.</w:t>
      </w:r>
    </w:p>
    <w:p w:rsidR="00EB31A5" w:rsidRPr="00EB31A5" w:rsidRDefault="00EB31A5" w:rsidP="0019680E">
      <w:pPr>
        <w:pStyle w:val="PargrafodaLista"/>
        <w:numPr>
          <w:ilvl w:val="0"/>
          <w:numId w:val="7"/>
        </w:numPr>
        <w:spacing w:after="160"/>
        <w:ind w:firstLine="0"/>
        <w:jc w:val="both"/>
        <w:rPr>
          <w:rFonts w:cs="Arial"/>
          <w:szCs w:val="24"/>
        </w:rPr>
      </w:pPr>
      <w:r w:rsidRPr="00EB31A5">
        <w:rPr>
          <w:rFonts w:cs="Arial"/>
          <w:szCs w:val="24"/>
        </w:rPr>
        <w:t xml:space="preserve">GRUPO III. </w:t>
      </w:r>
      <w:r w:rsidRPr="00EB31A5">
        <w:rPr>
          <w:rFonts w:cs="Arial"/>
          <w:b/>
          <w:szCs w:val="24"/>
        </w:rPr>
        <w:t>Dose 2</w:t>
      </w:r>
      <w:r w:rsidRPr="00EB31A5">
        <w:rPr>
          <w:rFonts w:cs="Arial"/>
          <w:szCs w:val="24"/>
        </w:rPr>
        <w:t xml:space="preserve"> – tratado com 1000 mg/kg/dia de óleo essencial diluído em emulsão contendo </w:t>
      </w:r>
      <w:proofErr w:type="spellStart"/>
      <w:r w:rsidRPr="00EB31A5">
        <w:rPr>
          <w:rFonts w:cs="Arial"/>
          <w:szCs w:val="24"/>
        </w:rPr>
        <w:t>Tween</w:t>
      </w:r>
      <w:proofErr w:type="spellEnd"/>
      <w:r w:rsidRPr="00EB31A5">
        <w:rPr>
          <w:rFonts w:cs="Arial"/>
          <w:szCs w:val="24"/>
        </w:rPr>
        <w:t xml:space="preserve"> 80 (3%) e água destilada.</w:t>
      </w:r>
    </w:p>
    <w:p w:rsidR="00EB31A5" w:rsidRPr="00EB31A5" w:rsidRDefault="00EB31A5" w:rsidP="0019680E">
      <w:pPr>
        <w:pStyle w:val="PargrafodaLista"/>
        <w:numPr>
          <w:ilvl w:val="0"/>
          <w:numId w:val="7"/>
        </w:numPr>
        <w:spacing w:after="160"/>
        <w:ind w:firstLine="0"/>
        <w:jc w:val="both"/>
        <w:rPr>
          <w:rFonts w:cs="Arial"/>
          <w:szCs w:val="24"/>
        </w:rPr>
      </w:pPr>
      <w:r w:rsidRPr="00EB31A5">
        <w:rPr>
          <w:rFonts w:cs="Arial"/>
          <w:szCs w:val="24"/>
        </w:rPr>
        <w:lastRenderedPageBreak/>
        <w:t xml:space="preserve">GRUPO IV. </w:t>
      </w:r>
      <w:r w:rsidRPr="00EB31A5">
        <w:rPr>
          <w:rFonts w:cs="Arial"/>
          <w:b/>
          <w:szCs w:val="24"/>
        </w:rPr>
        <w:t>Dose 3</w:t>
      </w:r>
      <w:r w:rsidRPr="00EB31A5">
        <w:rPr>
          <w:rFonts w:cs="Arial"/>
          <w:szCs w:val="24"/>
        </w:rPr>
        <w:t xml:space="preserve"> – tratado com 500 mg/kg/dia de óleo essencial diluído em emulsão contendo </w:t>
      </w:r>
      <w:proofErr w:type="spellStart"/>
      <w:r w:rsidRPr="00EB31A5">
        <w:rPr>
          <w:rFonts w:cs="Arial"/>
          <w:szCs w:val="24"/>
        </w:rPr>
        <w:t>Tween</w:t>
      </w:r>
      <w:proofErr w:type="spellEnd"/>
      <w:r w:rsidRPr="00EB31A5">
        <w:rPr>
          <w:rFonts w:cs="Arial"/>
          <w:szCs w:val="24"/>
        </w:rPr>
        <w:t xml:space="preserve"> 80 (3%) e água destilada.</w:t>
      </w:r>
    </w:p>
    <w:p w:rsidR="00EB31A5" w:rsidRPr="00EB31A5" w:rsidRDefault="00EB31A5" w:rsidP="0019680E">
      <w:pPr>
        <w:jc w:val="both"/>
        <w:rPr>
          <w:rFonts w:cs="Arial"/>
          <w:szCs w:val="24"/>
        </w:rPr>
      </w:pPr>
      <w:r w:rsidRPr="00EB31A5">
        <w:rPr>
          <w:rFonts w:cs="Arial"/>
          <w:szCs w:val="24"/>
        </w:rPr>
        <w:t xml:space="preserve">Após o período de adaptação de 7 dias, os animais serão divididos nos 4 grupos descritos, cada um composto por 30 fêmeas e 10 machos (3 fêmeas para cada macho). Os machos serão tratados por 70 dias antes e 21 dias durante o acasalamento. As fêmeas serão tratadas antes do acasalamento (14 dias), durante o acasalamento (21 dias), durante a gestação (21 dias) e até o final da lactação (21 dias pós-parto).  Na figura 1 podemos observar, de forma ilustrativa, uma linha do tempo do experimento. </w:t>
      </w:r>
    </w:p>
    <w:p w:rsidR="00EB31A5" w:rsidRPr="00EB31A5" w:rsidRDefault="00EB31A5" w:rsidP="0019680E">
      <w:pPr>
        <w:jc w:val="both"/>
        <w:rPr>
          <w:rFonts w:cs="Arial"/>
          <w:szCs w:val="24"/>
        </w:rPr>
      </w:pPr>
    </w:p>
    <w:p w:rsidR="00EB31A5" w:rsidRPr="00EB31A5" w:rsidRDefault="00EB31A5" w:rsidP="0019680E">
      <w:pPr>
        <w:tabs>
          <w:tab w:val="left" w:pos="7797"/>
        </w:tabs>
        <w:ind w:left="567" w:right="707"/>
        <w:jc w:val="both"/>
        <w:rPr>
          <w:rFonts w:cs="Arial"/>
          <w:szCs w:val="24"/>
        </w:rPr>
      </w:pPr>
      <w:r w:rsidRPr="00EB31A5">
        <w:rPr>
          <w:rFonts w:cs="Arial"/>
          <w:b/>
          <w:szCs w:val="24"/>
        </w:rPr>
        <w:t>Figura 1.</w:t>
      </w:r>
      <w:r w:rsidRPr="00EB31A5">
        <w:rPr>
          <w:rFonts w:cs="Arial"/>
          <w:szCs w:val="24"/>
        </w:rPr>
        <w:t xml:space="preserve"> Linha do tempo de tratamentos. Período em que os tratamentos serão realizados aos animais no segmento I (</w:t>
      </w:r>
      <w:r w:rsidRPr="00EB31A5">
        <w:rPr>
          <w:rFonts w:cs="Arial"/>
          <w:b/>
          <w:szCs w:val="24"/>
        </w:rPr>
        <w:t>A</w:t>
      </w:r>
      <w:r w:rsidRPr="00EB31A5">
        <w:rPr>
          <w:rFonts w:cs="Arial"/>
          <w:szCs w:val="24"/>
        </w:rPr>
        <w:t xml:space="preserve"> – machos, </w:t>
      </w:r>
      <w:r w:rsidRPr="00EB31A5">
        <w:rPr>
          <w:rFonts w:cs="Arial"/>
          <w:b/>
          <w:szCs w:val="24"/>
        </w:rPr>
        <w:t>B</w:t>
      </w:r>
      <w:r w:rsidRPr="00EB31A5">
        <w:rPr>
          <w:rFonts w:cs="Arial"/>
          <w:szCs w:val="24"/>
        </w:rPr>
        <w:t xml:space="preserve"> – fêmeas).</w:t>
      </w:r>
    </w:p>
    <w:p w:rsidR="00EB31A5" w:rsidRPr="00EB31A5" w:rsidRDefault="00EB31A5" w:rsidP="0019680E">
      <w:pPr>
        <w:tabs>
          <w:tab w:val="left" w:pos="567"/>
          <w:tab w:val="left" w:pos="8080"/>
        </w:tabs>
        <w:jc w:val="both"/>
        <w:rPr>
          <w:rFonts w:cs="Arial"/>
          <w:szCs w:val="24"/>
        </w:rPr>
      </w:pPr>
      <w:r w:rsidRPr="00EB31A5">
        <w:rPr>
          <w:rFonts w:cs="Arial"/>
          <w:noProof/>
          <w:szCs w:val="24"/>
          <w:lang w:eastAsia="pt-BR"/>
        </w:rPr>
        <w:drawing>
          <wp:inline distT="0" distB="0" distL="0" distR="0" wp14:anchorId="1FBC26F6" wp14:editId="102F7E8A">
            <wp:extent cx="4725035" cy="19754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5035" cy="1975485"/>
                    </a:xfrm>
                    <a:prstGeom prst="rect">
                      <a:avLst/>
                    </a:prstGeom>
                    <a:noFill/>
                  </pic:spPr>
                </pic:pic>
              </a:graphicData>
            </a:graphic>
          </wp:inline>
        </w:drawing>
      </w:r>
    </w:p>
    <w:p w:rsidR="00EB31A5" w:rsidRPr="00EB31A5" w:rsidRDefault="00EB31A5" w:rsidP="0019680E">
      <w:pPr>
        <w:tabs>
          <w:tab w:val="left" w:pos="567"/>
          <w:tab w:val="left" w:pos="8080"/>
        </w:tabs>
        <w:jc w:val="both"/>
        <w:rPr>
          <w:rFonts w:cs="Arial"/>
          <w:szCs w:val="24"/>
        </w:rPr>
      </w:pPr>
    </w:p>
    <w:p w:rsidR="00EB31A5" w:rsidRPr="00EB31A5" w:rsidRDefault="000A6895" w:rsidP="0019680E">
      <w:pPr>
        <w:pStyle w:val="Ttulo3"/>
        <w:jc w:val="both"/>
      </w:pPr>
      <w:bookmarkStart w:id="28" w:name="_Toc6842223"/>
      <w:r>
        <w:t xml:space="preserve">4.2.4 </w:t>
      </w:r>
      <w:r w:rsidR="00EB31A5" w:rsidRPr="00EB31A5">
        <w:t>Acasalamento</w:t>
      </w:r>
      <w:bookmarkEnd w:id="28"/>
    </w:p>
    <w:p w:rsidR="00EB31A5" w:rsidRPr="00EB31A5" w:rsidRDefault="00EB31A5" w:rsidP="0019680E">
      <w:pPr>
        <w:jc w:val="both"/>
        <w:rPr>
          <w:rFonts w:cs="Arial"/>
          <w:szCs w:val="24"/>
        </w:rPr>
      </w:pPr>
      <w:r w:rsidRPr="00EB31A5">
        <w:rPr>
          <w:rFonts w:cs="Arial"/>
          <w:szCs w:val="24"/>
        </w:rPr>
        <w:tab/>
        <w:t xml:space="preserve">O acasalamento será realizado em três ciclos de cinco dias consecutivos e intervalo de 48 horas entre eles, totalizando 21 dias. Três fêmeas virgens e </w:t>
      </w:r>
      <w:proofErr w:type="spellStart"/>
      <w:r w:rsidRPr="00EB31A5">
        <w:rPr>
          <w:rFonts w:cs="Arial"/>
          <w:szCs w:val="24"/>
        </w:rPr>
        <w:t>nulíparas</w:t>
      </w:r>
      <w:proofErr w:type="spellEnd"/>
      <w:r w:rsidRPr="00EB31A5">
        <w:rPr>
          <w:rFonts w:cs="Arial"/>
          <w:szCs w:val="24"/>
        </w:rPr>
        <w:t xml:space="preserve"> serão alocadas na caixa de cada macho, permanecerão no local durante duas horas por dia (das 6h00min às 8h00min) correspondente ao final do ciclo escuro. Após este período, os animais serão separados e a confirmação da concepção ocorrerá mediante observação da presença de espermatozoides no esfregaço vaginal das fêmeas. O mesmo será realizado diariamente, através de lavado vaginal e visualizado em aumento de dez vezes com auxílio de microscópio óptico. </w:t>
      </w:r>
    </w:p>
    <w:p w:rsidR="00EB31A5" w:rsidRDefault="00C43B92" w:rsidP="0019680E">
      <w:pPr>
        <w:jc w:val="both"/>
        <w:rPr>
          <w:rFonts w:cs="Arial"/>
          <w:szCs w:val="24"/>
        </w:rPr>
      </w:pPr>
      <w:r>
        <w:rPr>
          <w:rFonts w:cs="Arial"/>
          <w:szCs w:val="24"/>
        </w:rPr>
        <w:lastRenderedPageBreak/>
        <w:tab/>
      </w:r>
      <w:r w:rsidR="00EB31A5" w:rsidRPr="00EB31A5">
        <w:rPr>
          <w:rFonts w:cs="Arial"/>
          <w:szCs w:val="24"/>
        </w:rPr>
        <w:t>A constatação de esfregaço vaginal positivo indicará o dia zero da gestação. Estes dados serão posteriormente confirmados pela data de parto, de forma a avaliar a eficiência da metodologia.</w:t>
      </w:r>
    </w:p>
    <w:p w:rsidR="00EB31A5" w:rsidRPr="00EB31A5" w:rsidRDefault="00EB31A5" w:rsidP="0019680E">
      <w:pPr>
        <w:jc w:val="both"/>
        <w:rPr>
          <w:rFonts w:cs="Arial"/>
          <w:szCs w:val="24"/>
        </w:rPr>
      </w:pPr>
    </w:p>
    <w:p w:rsidR="00EB31A5" w:rsidRPr="00C43B92" w:rsidRDefault="00EB31A5" w:rsidP="00C43B92">
      <w:pPr>
        <w:pStyle w:val="Ttulo3"/>
      </w:pPr>
      <w:bookmarkStart w:id="29" w:name="_Toc6842224"/>
      <w:r w:rsidRPr="00C43B92">
        <w:t>4.2.5</w:t>
      </w:r>
      <w:r w:rsidRPr="00C43B92">
        <w:tab/>
        <w:t>Eutanásia e avaliação dos machos</w:t>
      </w:r>
      <w:bookmarkEnd w:id="29"/>
      <w:r w:rsidRPr="00C43B92">
        <w:t xml:space="preserve"> </w:t>
      </w:r>
    </w:p>
    <w:p w:rsidR="00275A85" w:rsidRDefault="00C43B92" w:rsidP="00275A85">
      <w:pPr>
        <w:shd w:val="clear" w:color="auto" w:fill="FFFFFF"/>
        <w:jc w:val="both"/>
        <w:textAlignment w:val="baseline"/>
        <w:rPr>
          <w:rFonts w:cs="Arial"/>
          <w:color w:val="201F1E"/>
          <w:szCs w:val="24"/>
          <w:lang w:eastAsia="pt-BR"/>
        </w:rPr>
      </w:pPr>
      <w:r>
        <w:rPr>
          <w:rFonts w:cs="Arial"/>
          <w:szCs w:val="24"/>
        </w:rPr>
        <w:tab/>
      </w:r>
      <w:r w:rsidR="00EB31A5" w:rsidRPr="00EB31A5">
        <w:rPr>
          <w:rFonts w:cs="Arial"/>
          <w:szCs w:val="24"/>
        </w:rPr>
        <w:t>Os machos serão eutanasiados 48 horas após o término do período de acasalamento</w:t>
      </w:r>
      <w:r w:rsidR="000D79AA" w:rsidRPr="009B31CE">
        <w:rPr>
          <w:rFonts w:cs="Arial"/>
          <w:color w:val="201F1E"/>
          <w:szCs w:val="24"/>
          <w:lang w:eastAsia="pt-BR"/>
        </w:rPr>
        <w:t>,</w:t>
      </w:r>
      <w:r w:rsidR="000D79AA">
        <w:rPr>
          <w:rFonts w:cs="Arial"/>
          <w:color w:val="201F1E"/>
          <w:szCs w:val="24"/>
          <w:lang w:eastAsia="pt-BR"/>
        </w:rPr>
        <w:t xml:space="preserve"> sendo 48 horas</w:t>
      </w:r>
      <w:r w:rsidR="000D79AA" w:rsidRPr="009B31CE">
        <w:rPr>
          <w:rFonts w:cs="Arial"/>
          <w:color w:val="201F1E"/>
          <w:szCs w:val="24"/>
          <w:lang w:eastAsia="pt-BR"/>
        </w:rPr>
        <w:t xml:space="preserve"> o período necessário para a recuperação quantitativa adequada das células reprodutivas dos machos,</w:t>
      </w:r>
      <w:r w:rsidR="000D79AA">
        <w:rPr>
          <w:rFonts w:cs="Arial"/>
          <w:color w:val="201F1E"/>
          <w:szCs w:val="24"/>
          <w:lang w:eastAsia="pt-BR"/>
        </w:rPr>
        <w:t xml:space="preserve"> de modo que </w:t>
      </w:r>
      <w:r w:rsidR="000D79AA" w:rsidRPr="009B31CE">
        <w:rPr>
          <w:rFonts w:cs="Arial"/>
          <w:color w:val="201F1E"/>
          <w:szCs w:val="24"/>
          <w:lang w:eastAsia="pt-BR"/>
        </w:rPr>
        <w:t>esse período se faz necessário</w:t>
      </w:r>
      <w:r w:rsidR="00275A85">
        <w:rPr>
          <w:rFonts w:cs="Arial"/>
          <w:color w:val="201F1E"/>
          <w:szCs w:val="24"/>
          <w:lang w:eastAsia="pt-BR"/>
        </w:rPr>
        <w:t xml:space="preserve"> para que </w:t>
      </w:r>
      <w:r w:rsidR="000D79AA" w:rsidRPr="009B31CE">
        <w:rPr>
          <w:rFonts w:cs="Arial"/>
          <w:color w:val="201F1E"/>
          <w:szCs w:val="24"/>
          <w:lang w:eastAsia="pt-BR"/>
        </w:rPr>
        <w:t xml:space="preserve">não haja diferença na avaliação quantitativa (número de espermatozoides e </w:t>
      </w:r>
      <w:r w:rsidR="00E54854">
        <w:rPr>
          <w:rFonts w:cs="Arial"/>
          <w:color w:val="201F1E"/>
          <w:szCs w:val="24"/>
          <w:lang w:eastAsia="pt-BR"/>
        </w:rPr>
        <w:t xml:space="preserve">número </w:t>
      </w:r>
      <w:r w:rsidR="000D79AA" w:rsidRPr="009B31CE">
        <w:rPr>
          <w:rFonts w:cs="Arial"/>
          <w:color w:val="201F1E"/>
          <w:szCs w:val="24"/>
          <w:lang w:eastAsia="pt-BR"/>
        </w:rPr>
        <w:t xml:space="preserve">de espermátides) daqueles machos que cobrirem as fêmeas no dia do termino do acasalamento (dia 21) em relação àqueles que não realizarem a cobertura nesse dia, ocorrendo dessa maneira a uniformização entre os animais do grupo e também entre os grupos. </w:t>
      </w:r>
      <w:bookmarkStart w:id="30" w:name="_Hlk6242856"/>
    </w:p>
    <w:p w:rsidR="00EB31A5" w:rsidRPr="00EB31A5" w:rsidRDefault="000D79AA" w:rsidP="00275A85">
      <w:pPr>
        <w:shd w:val="clear" w:color="auto" w:fill="FFFFFF"/>
        <w:jc w:val="both"/>
        <w:textAlignment w:val="baseline"/>
        <w:rPr>
          <w:rFonts w:cs="Arial"/>
          <w:szCs w:val="24"/>
        </w:rPr>
      </w:pPr>
      <w:r>
        <w:rPr>
          <w:rFonts w:cs="Arial"/>
          <w:szCs w:val="24"/>
        </w:rPr>
        <w:tab/>
      </w:r>
      <w:r w:rsidR="00EB31A5" w:rsidRPr="00EB31A5">
        <w:rPr>
          <w:rFonts w:cs="Arial"/>
          <w:szCs w:val="24"/>
        </w:rPr>
        <w:t>O método de eutanásia utilizado será o inalatório e o agente anestésico será o isoflurano. Optou-se pelo uso do isoflurano devido a sua rápida ação. Os animais serão colocados em uma gaiola fechada, juntamente com um recipiente contendo algodão embebido com isoflurano. O algodão será mantido em um recipiente fechado para que os animais não tenham contato direto com o líquido do algodão</w:t>
      </w:r>
      <w:bookmarkStart w:id="31" w:name="_Hlk6243492"/>
      <w:bookmarkEnd w:id="30"/>
      <w:r w:rsidR="00EB31A5" w:rsidRPr="00EB31A5">
        <w:rPr>
          <w:rFonts w:cs="Arial"/>
          <w:szCs w:val="24"/>
        </w:rPr>
        <w:t xml:space="preserve"> </w:t>
      </w:r>
      <w:bookmarkStart w:id="32" w:name="_Hlk6268452"/>
      <w:bookmarkEnd w:id="31"/>
      <w:r w:rsidR="00EB31A5" w:rsidRPr="00EB31A5">
        <w:rPr>
          <w:rFonts w:cs="Arial"/>
          <w:szCs w:val="24"/>
        </w:rPr>
        <w:t xml:space="preserve">(FANTONI et al., 2011; CFMV, 2012; CONCEA, 2018). </w:t>
      </w:r>
      <w:bookmarkStart w:id="33" w:name="_Hlk6267816"/>
      <w:bookmarkEnd w:id="32"/>
      <w:r w:rsidR="00EB31A5" w:rsidRPr="00EB31A5">
        <w:rPr>
          <w:rFonts w:cs="Arial"/>
          <w:szCs w:val="24"/>
        </w:rPr>
        <w:t xml:space="preserve">Após a eutanásia os animais serão submetidos à celiotomia. </w:t>
      </w:r>
    </w:p>
    <w:p w:rsidR="00EB31A5" w:rsidRPr="00EB31A5" w:rsidRDefault="00C43B92" w:rsidP="0019680E">
      <w:pPr>
        <w:jc w:val="both"/>
        <w:rPr>
          <w:rFonts w:cs="Arial"/>
          <w:szCs w:val="24"/>
        </w:rPr>
      </w:pPr>
      <w:r>
        <w:rPr>
          <w:rFonts w:cs="Arial"/>
          <w:szCs w:val="24"/>
        </w:rPr>
        <w:tab/>
      </w:r>
      <w:r w:rsidR="00EB31A5" w:rsidRPr="00EB31A5">
        <w:rPr>
          <w:rFonts w:cs="Arial"/>
          <w:szCs w:val="24"/>
        </w:rPr>
        <w:t xml:space="preserve">As coletas de amostras sanguíneas serão obtidas a partir de </w:t>
      </w:r>
      <w:proofErr w:type="spellStart"/>
      <w:r w:rsidR="00EB31A5" w:rsidRPr="00EB31A5">
        <w:rPr>
          <w:rFonts w:cs="Arial"/>
          <w:szCs w:val="24"/>
        </w:rPr>
        <w:t>venopunção</w:t>
      </w:r>
      <w:proofErr w:type="spellEnd"/>
      <w:r w:rsidR="00EB31A5" w:rsidRPr="00EB31A5">
        <w:rPr>
          <w:rFonts w:cs="Arial"/>
          <w:szCs w:val="24"/>
        </w:rPr>
        <w:t xml:space="preserve"> da veia cava caudal sob visualização direta. O sangue será armazenado em tubos sem anticoagulante. Após a retração do coágulo, o sangue será centrifugado por 15 minutos a 2500 rpm, para obtenção de soro, sendo o mesmo acondicionado em microtubo e mantido a -20ºC até a realização dos exames de determinação da dosagem hormonal de testosterona. </w:t>
      </w:r>
    </w:p>
    <w:p w:rsidR="00EB31A5" w:rsidRPr="00EB31A5" w:rsidRDefault="00C43B92" w:rsidP="0019680E">
      <w:pPr>
        <w:jc w:val="both"/>
        <w:rPr>
          <w:rFonts w:cs="Arial"/>
          <w:szCs w:val="24"/>
        </w:rPr>
      </w:pPr>
      <w:r>
        <w:rPr>
          <w:rFonts w:cs="Arial"/>
          <w:szCs w:val="24"/>
        </w:rPr>
        <w:tab/>
      </w:r>
      <w:r w:rsidR="00EB31A5" w:rsidRPr="00EB31A5">
        <w:rPr>
          <w:rFonts w:cs="Arial"/>
          <w:szCs w:val="24"/>
        </w:rPr>
        <w:t xml:space="preserve">Rins, fígado, baço e coração serão removidos e avaliados em relação a possíveis alterações macroscópicas. A massa de cada órgão será mensurada e relacionada com a massa corporal do indivíduo. Os órgãos sexuais, testículos, epidídimos, ductos deferentes, próstata e vesícula seminal serão removidos. A massa destes órgãos também será mensurada, exceto os ductos deferentes, e relacionada </w:t>
      </w:r>
      <w:r w:rsidR="00EB31A5" w:rsidRPr="00EB31A5">
        <w:rPr>
          <w:rFonts w:cs="Arial"/>
          <w:szCs w:val="24"/>
        </w:rPr>
        <w:lastRenderedPageBreak/>
        <w:t xml:space="preserve">com a massa corporal. A vesícula seminal deverá estar livre de seu conteúdo para pesagem.   </w:t>
      </w:r>
    </w:p>
    <w:p w:rsidR="00EB31A5" w:rsidRPr="00EB31A5" w:rsidRDefault="00C43B92" w:rsidP="0019680E">
      <w:pPr>
        <w:jc w:val="both"/>
        <w:rPr>
          <w:rFonts w:cs="Arial"/>
          <w:szCs w:val="24"/>
        </w:rPr>
      </w:pPr>
      <w:r>
        <w:rPr>
          <w:rFonts w:cs="Arial"/>
          <w:szCs w:val="24"/>
        </w:rPr>
        <w:tab/>
      </w:r>
      <w:r w:rsidR="00EB31A5" w:rsidRPr="00EB31A5">
        <w:rPr>
          <w:rFonts w:cs="Arial"/>
          <w:szCs w:val="24"/>
        </w:rPr>
        <w:t xml:space="preserve">A túnica albugínea e os vasos principais de cada um dos testículos serão removidos, e cada testículo será triturado e homogeneizado em 10 </w:t>
      </w:r>
      <w:proofErr w:type="spellStart"/>
      <w:r w:rsidR="00EB31A5" w:rsidRPr="00EB31A5">
        <w:rPr>
          <w:rFonts w:cs="Arial"/>
          <w:szCs w:val="24"/>
        </w:rPr>
        <w:t>mL</w:t>
      </w:r>
      <w:proofErr w:type="spellEnd"/>
      <w:r w:rsidR="00EB31A5" w:rsidRPr="00EB31A5">
        <w:rPr>
          <w:rFonts w:cs="Arial"/>
          <w:szCs w:val="24"/>
        </w:rPr>
        <w:t xml:space="preserve"> de </w:t>
      </w:r>
      <w:proofErr w:type="spellStart"/>
      <w:r w:rsidR="00EB31A5" w:rsidRPr="00EB31A5">
        <w:rPr>
          <w:rFonts w:cs="Arial"/>
          <w:szCs w:val="24"/>
        </w:rPr>
        <w:t>NaCl</w:t>
      </w:r>
      <w:proofErr w:type="spellEnd"/>
      <w:r w:rsidR="00EB31A5" w:rsidRPr="00EB31A5">
        <w:rPr>
          <w:rFonts w:cs="Arial"/>
          <w:szCs w:val="24"/>
        </w:rPr>
        <w:t xml:space="preserve"> 0,9% contendo 0,05% de </w:t>
      </w:r>
      <w:proofErr w:type="spellStart"/>
      <w:r w:rsidR="00EB31A5" w:rsidRPr="00EB31A5">
        <w:rPr>
          <w:rFonts w:cs="Arial"/>
          <w:szCs w:val="24"/>
        </w:rPr>
        <w:t>Triton</w:t>
      </w:r>
      <w:proofErr w:type="spellEnd"/>
      <w:r w:rsidR="00EB31A5" w:rsidRPr="00EB31A5">
        <w:rPr>
          <w:rFonts w:cs="Arial"/>
          <w:szCs w:val="24"/>
        </w:rPr>
        <w:t xml:space="preserve"> X-100, em triturador tecidual </w:t>
      </w:r>
      <w:proofErr w:type="spellStart"/>
      <w:r w:rsidR="00EB31A5" w:rsidRPr="00EB31A5">
        <w:rPr>
          <w:rFonts w:cs="Arial"/>
          <w:szCs w:val="24"/>
        </w:rPr>
        <w:t>Fisaton</w:t>
      </w:r>
      <w:proofErr w:type="spellEnd"/>
      <w:r w:rsidR="00EB31A5" w:rsidRPr="00EB31A5">
        <w:rPr>
          <w:rFonts w:cs="Arial"/>
          <w:szCs w:val="24"/>
        </w:rPr>
        <w:t xml:space="preserve"> 720® a uma velocidade de 600 rpm, durante 1 minuto. O mesmo procedimento de homogeneização e trituração será repetido com a cauda de cada um dos epidídimos dos animais, previamente cortada com tesoura em pequenos pedaços. </w:t>
      </w:r>
    </w:p>
    <w:p w:rsidR="00EB31A5" w:rsidRPr="00EB31A5" w:rsidRDefault="00C43B92" w:rsidP="0019680E">
      <w:pPr>
        <w:jc w:val="both"/>
        <w:rPr>
          <w:rFonts w:cs="Arial"/>
          <w:szCs w:val="24"/>
        </w:rPr>
      </w:pPr>
      <w:r>
        <w:rPr>
          <w:rFonts w:cs="Arial"/>
          <w:szCs w:val="24"/>
        </w:rPr>
        <w:tab/>
      </w:r>
      <w:r w:rsidR="00EB31A5" w:rsidRPr="00EB31A5">
        <w:rPr>
          <w:rFonts w:cs="Arial"/>
          <w:szCs w:val="24"/>
        </w:rPr>
        <w:t xml:space="preserve">O macerado resultante de cada testículo e de cada epidídimo será acondicionado em microtubos individuais, sendo retirado de cada macerado, um volume correspondente a 100µL. Cada microtubo será acrescido de 900µL de solução de </w:t>
      </w:r>
      <w:proofErr w:type="spellStart"/>
      <w:r w:rsidR="00EB31A5" w:rsidRPr="00EB31A5">
        <w:rPr>
          <w:rFonts w:cs="Arial"/>
          <w:szCs w:val="24"/>
        </w:rPr>
        <w:t>NaCl</w:t>
      </w:r>
      <w:proofErr w:type="spellEnd"/>
      <w:r w:rsidR="00EB31A5" w:rsidRPr="00EB31A5">
        <w:rPr>
          <w:rFonts w:cs="Arial"/>
          <w:szCs w:val="24"/>
        </w:rPr>
        <w:t xml:space="preserve"> 0,9%, chegando a um volume final de 1 mililitro. </w:t>
      </w:r>
    </w:p>
    <w:p w:rsidR="00EB31A5" w:rsidRPr="00EB31A5" w:rsidRDefault="00C43B92" w:rsidP="0019680E">
      <w:pPr>
        <w:jc w:val="both"/>
        <w:rPr>
          <w:rFonts w:cs="Arial"/>
          <w:szCs w:val="24"/>
        </w:rPr>
      </w:pPr>
      <w:r>
        <w:rPr>
          <w:rFonts w:cs="Arial"/>
          <w:szCs w:val="24"/>
        </w:rPr>
        <w:tab/>
      </w:r>
      <w:r w:rsidR="00EB31A5" w:rsidRPr="00EB31A5">
        <w:rPr>
          <w:rFonts w:cs="Arial"/>
          <w:szCs w:val="24"/>
        </w:rPr>
        <w:t xml:space="preserve">Deste volume, será realizada a contagem do número total de espermatozoides (cauda do epidídimo), e o número de espermátides por animal (testículo), sendo utilizada para tanto uma câmara de Neubauer, na qual serão contados os respectivos tipos celulares em 64 quadrados pequenos. A contagem será realizada em microscópio óptico com aumento de 40 vezes. O número de espermatozoides e sua produção diária serão determinados pelas fórmulas:  </w:t>
      </w:r>
    </w:p>
    <w:p w:rsidR="00EB31A5" w:rsidRPr="00EB31A5" w:rsidRDefault="00EB31A5" w:rsidP="0019680E">
      <w:pPr>
        <w:jc w:val="both"/>
        <w:rPr>
          <w:rFonts w:cs="Arial"/>
          <w:szCs w:val="24"/>
        </w:rPr>
      </w:pPr>
      <w:r w:rsidRPr="00EB31A5">
        <w:rPr>
          <w:rFonts w:cs="Arial"/>
          <w:szCs w:val="24"/>
        </w:rPr>
        <w:t xml:space="preserve">S = C x FC x V (espermatozoides) </w:t>
      </w:r>
    </w:p>
    <w:p w:rsidR="00EB31A5" w:rsidRPr="00EB31A5" w:rsidRDefault="00EB31A5" w:rsidP="0019680E">
      <w:pPr>
        <w:jc w:val="both"/>
        <w:rPr>
          <w:rFonts w:cs="Arial"/>
          <w:szCs w:val="24"/>
        </w:rPr>
      </w:pPr>
      <w:r w:rsidRPr="00EB31A5">
        <w:rPr>
          <w:rFonts w:cs="Arial"/>
          <w:szCs w:val="24"/>
        </w:rPr>
        <w:t xml:space="preserve">S = C x FC x V ÷ 6,1 (produção diária) </w:t>
      </w:r>
    </w:p>
    <w:p w:rsidR="00EB31A5" w:rsidRPr="00EB31A5" w:rsidRDefault="00EB31A5" w:rsidP="0019680E">
      <w:pPr>
        <w:jc w:val="both"/>
        <w:rPr>
          <w:rFonts w:cs="Arial"/>
          <w:szCs w:val="24"/>
        </w:rPr>
      </w:pPr>
      <w:r w:rsidRPr="00EB31A5">
        <w:rPr>
          <w:rFonts w:cs="Arial"/>
          <w:szCs w:val="24"/>
        </w:rPr>
        <w:t xml:space="preserve">Onde: </w:t>
      </w:r>
    </w:p>
    <w:p w:rsidR="00EB31A5" w:rsidRPr="00EB31A5" w:rsidRDefault="00EB31A5" w:rsidP="0019680E">
      <w:pPr>
        <w:jc w:val="both"/>
        <w:rPr>
          <w:rFonts w:cs="Arial"/>
          <w:szCs w:val="24"/>
        </w:rPr>
      </w:pPr>
      <w:r w:rsidRPr="00EB31A5">
        <w:rPr>
          <w:rFonts w:cs="Arial"/>
          <w:szCs w:val="24"/>
        </w:rPr>
        <w:t xml:space="preserve">S = soma total por animal </w:t>
      </w:r>
    </w:p>
    <w:p w:rsidR="00EB31A5" w:rsidRPr="00EB31A5" w:rsidRDefault="00EB31A5" w:rsidP="0019680E">
      <w:pPr>
        <w:jc w:val="both"/>
        <w:rPr>
          <w:rFonts w:cs="Arial"/>
          <w:szCs w:val="24"/>
        </w:rPr>
      </w:pPr>
      <w:r w:rsidRPr="00EB31A5">
        <w:rPr>
          <w:rFonts w:cs="Arial"/>
          <w:szCs w:val="24"/>
        </w:rPr>
        <w:t xml:space="preserve">C = número de espermatozoides ou espermátides contados </w:t>
      </w:r>
    </w:p>
    <w:p w:rsidR="00EB31A5" w:rsidRPr="00EB31A5" w:rsidRDefault="00EB31A5" w:rsidP="0019680E">
      <w:pPr>
        <w:jc w:val="both"/>
        <w:rPr>
          <w:rFonts w:cs="Arial"/>
          <w:szCs w:val="24"/>
        </w:rPr>
      </w:pPr>
      <w:r w:rsidRPr="00EB31A5">
        <w:rPr>
          <w:rFonts w:cs="Arial"/>
          <w:szCs w:val="24"/>
        </w:rPr>
        <w:t xml:space="preserve">FC = fator câmara (1,250) </w:t>
      </w:r>
    </w:p>
    <w:p w:rsidR="00EB31A5" w:rsidRPr="00EB31A5" w:rsidRDefault="00EB31A5" w:rsidP="0019680E">
      <w:pPr>
        <w:jc w:val="both"/>
        <w:rPr>
          <w:rFonts w:cs="Arial"/>
          <w:szCs w:val="24"/>
        </w:rPr>
      </w:pPr>
      <w:r w:rsidRPr="00EB31A5">
        <w:rPr>
          <w:rFonts w:cs="Arial"/>
          <w:szCs w:val="24"/>
        </w:rPr>
        <w:t xml:space="preserve">V = diluição (106)  </w:t>
      </w:r>
    </w:p>
    <w:p w:rsidR="00EB31A5" w:rsidRPr="00EB31A5" w:rsidRDefault="00C43B92" w:rsidP="0019680E">
      <w:pPr>
        <w:jc w:val="both"/>
        <w:rPr>
          <w:rFonts w:cs="Arial"/>
          <w:szCs w:val="24"/>
        </w:rPr>
      </w:pPr>
      <w:r>
        <w:rPr>
          <w:rFonts w:cs="Arial"/>
          <w:szCs w:val="24"/>
        </w:rPr>
        <w:tab/>
      </w:r>
      <w:r w:rsidR="00EB31A5" w:rsidRPr="00EB31A5">
        <w:rPr>
          <w:rFonts w:cs="Arial"/>
          <w:szCs w:val="24"/>
        </w:rPr>
        <w:t xml:space="preserve"> Um ducto deferente de cada animal será lavado com 1mL de solução de </w:t>
      </w:r>
      <w:proofErr w:type="spellStart"/>
      <w:r w:rsidR="00EB31A5" w:rsidRPr="00EB31A5">
        <w:rPr>
          <w:rFonts w:cs="Arial"/>
          <w:szCs w:val="24"/>
        </w:rPr>
        <w:t>NaCl</w:t>
      </w:r>
      <w:proofErr w:type="spellEnd"/>
      <w:r w:rsidR="00EB31A5" w:rsidRPr="00EB31A5">
        <w:rPr>
          <w:rFonts w:cs="Arial"/>
          <w:szCs w:val="24"/>
        </w:rPr>
        <w:t xml:space="preserve"> 0,9%, sendo obtida uma suspensão de espermatozoides. Uma pequena alíquota dessa suspensão (0,1mL) será misturada com igual volume de eosina 2% e será executado esfregaço em lâmina, para análise do percentual de alterações morfológicas de cabeça e cauda dos espermatozoides provenientes do ducto. Serão </w:t>
      </w:r>
      <w:r w:rsidR="00EB31A5" w:rsidRPr="00EB31A5">
        <w:rPr>
          <w:rFonts w:cs="Arial"/>
          <w:szCs w:val="24"/>
        </w:rPr>
        <w:lastRenderedPageBreak/>
        <w:t xml:space="preserve">analisados 200 espermatozoides por animal em microscópio óptico com um aumento de 40 vezes.  </w:t>
      </w:r>
    </w:p>
    <w:p w:rsidR="00EB31A5" w:rsidRDefault="00C43B92" w:rsidP="0019680E">
      <w:pPr>
        <w:jc w:val="both"/>
        <w:rPr>
          <w:rFonts w:cs="Arial"/>
          <w:szCs w:val="24"/>
        </w:rPr>
      </w:pPr>
      <w:r>
        <w:rPr>
          <w:rFonts w:cs="Arial"/>
          <w:szCs w:val="24"/>
        </w:rPr>
        <w:tab/>
      </w:r>
      <w:r w:rsidR="00EB31A5" w:rsidRPr="00EB31A5">
        <w:rPr>
          <w:rFonts w:cs="Arial"/>
          <w:szCs w:val="24"/>
        </w:rPr>
        <w:t xml:space="preserve">Para análise histológica, um testículo por grupo será fixado em solução de </w:t>
      </w:r>
      <w:proofErr w:type="spellStart"/>
      <w:r w:rsidR="00EB31A5" w:rsidRPr="00EB31A5">
        <w:rPr>
          <w:rFonts w:cs="Arial"/>
          <w:szCs w:val="24"/>
        </w:rPr>
        <w:t>Bouin</w:t>
      </w:r>
      <w:proofErr w:type="spellEnd"/>
      <w:r w:rsidR="00EB31A5" w:rsidRPr="00EB31A5">
        <w:rPr>
          <w:rFonts w:cs="Arial"/>
          <w:szCs w:val="24"/>
        </w:rPr>
        <w:t xml:space="preserve"> imediatamente após ser removido. Os órgãos coletados de todos os animais serão fixados com solução de formalina tamponada e, como os testículos, serão examinados no laboratório de Patologia Clínica Veterinária, do Departamento de Medicina Animal, da Faculdade de Veterinária da UFRGS.</w:t>
      </w:r>
    </w:p>
    <w:p w:rsidR="00EB31A5" w:rsidRPr="00EB31A5" w:rsidRDefault="00EB31A5" w:rsidP="0019680E">
      <w:pPr>
        <w:jc w:val="both"/>
        <w:rPr>
          <w:rFonts w:cs="Arial"/>
          <w:szCs w:val="24"/>
        </w:rPr>
      </w:pPr>
    </w:p>
    <w:p w:rsidR="00EB31A5" w:rsidRPr="00EB31A5" w:rsidRDefault="006D37B1" w:rsidP="0019680E">
      <w:pPr>
        <w:pStyle w:val="Ttulo3"/>
        <w:jc w:val="both"/>
      </w:pPr>
      <w:bookmarkStart w:id="34" w:name="_Toc6842225"/>
      <w:bookmarkEnd w:id="33"/>
      <w:r>
        <w:t xml:space="preserve">4.2.6 </w:t>
      </w:r>
      <w:r w:rsidR="00EB31A5" w:rsidRPr="00EB31A5">
        <w:t>Lactação e comportamento maternal</w:t>
      </w:r>
      <w:bookmarkEnd w:id="34"/>
      <w:r w:rsidR="00EB31A5" w:rsidRPr="00EB31A5">
        <w:t xml:space="preserve"> </w:t>
      </w:r>
    </w:p>
    <w:p w:rsidR="00EB31A5" w:rsidRPr="00EB31A5" w:rsidRDefault="00C43B92" w:rsidP="0019680E">
      <w:pPr>
        <w:jc w:val="both"/>
        <w:rPr>
          <w:rFonts w:cs="Arial"/>
          <w:szCs w:val="24"/>
        </w:rPr>
      </w:pPr>
      <w:r>
        <w:rPr>
          <w:rFonts w:cs="Arial"/>
          <w:szCs w:val="24"/>
        </w:rPr>
        <w:tab/>
      </w:r>
      <w:r w:rsidR="00EB31A5" w:rsidRPr="00EB31A5">
        <w:rPr>
          <w:rFonts w:cs="Arial"/>
          <w:szCs w:val="24"/>
        </w:rPr>
        <w:t>As progenitoras parirão a termo e serão avaliadas desde o parto até o 21º de lactação. O comportamento da rata lactante com sua ninhada será registrado em vídeo, por câmera filmadora, no 1º, 5º e 10º dia pós-parto, durante o período claro. Os registros em vídeo serão realizados por 30 minutos a partir do momento em que a rata for colocada na caixa após os procedimentos experimentais (</w:t>
      </w:r>
      <w:proofErr w:type="spellStart"/>
      <w:r w:rsidR="00EB31A5" w:rsidRPr="00EB31A5">
        <w:rPr>
          <w:rFonts w:cs="Arial"/>
          <w:szCs w:val="24"/>
        </w:rPr>
        <w:t>gavagem</w:t>
      </w:r>
      <w:proofErr w:type="spellEnd"/>
      <w:r w:rsidR="00EB31A5" w:rsidRPr="00EB31A5">
        <w:rPr>
          <w:rFonts w:cs="Arial"/>
          <w:szCs w:val="24"/>
        </w:rPr>
        <w:t xml:space="preserve">). Os comportamentos a serem observados durante o registro serão o ato de lamber os filhotes e a amamentação com o dorso arqueado. </w:t>
      </w:r>
    </w:p>
    <w:p w:rsidR="00EB31A5" w:rsidRDefault="00C43B92" w:rsidP="0019680E">
      <w:pPr>
        <w:jc w:val="both"/>
        <w:rPr>
          <w:rFonts w:cs="Arial"/>
          <w:szCs w:val="24"/>
        </w:rPr>
      </w:pPr>
      <w:r>
        <w:rPr>
          <w:rFonts w:cs="Arial"/>
          <w:szCs w:val="24"/>
        </w:rPr>
        <w:tab/>
      </w:r>
      <w:r w:rsidR="00EB31A5" w:rsidRPr="00EB31A5">
        <w:rPr>
          <w:rFonts w:cs="Arial"/>
          <w:szCs w:val="24"/>
        </w:rPr>
        <w:t xml:space="preserve">No 21º dia da lactação, as progenitoras serão eutanasiadas com sobredosagem de isoflurano, do mesmo modo do executado nos machos </w:t>
      </w:r>
      <w:bookmarkStart w:id="35" w:name="_Hlk6268655"/>
      <w:r w:rsidR="00EB31A5" w:rsidRPr="00EB31A5">
        <w:rPr>
          <w:rFonts w:cs="Arial"/>
          <w:szCs w:val="24"/>
        </w:rPr>
        <w:t>(FANTONI et al., 2011; CFMV, 2012; CONCEA, 2018).</w:t>
      </w:r>
      <w:bookmarkEnd w:id="35"/>
      <w:r w:rsidR="00EB31A5" w:rsidRPr="00EB31A5">
        <w:rPr>
          <w:rFonts w:cs="Arial"/>
          <w:szCs w:val="24"/>
        </w:rPr>
        <w:t xml:space="preserve">  Após, serão removidos e inspecionados o fígado, baço, coração, rins, ovários e útero. Cada órgão será pesado individualmente em balança analítica. No útero serão contados os implantes uterinos presentes.</w:t>
      </w:r>
    </w:p>
    <w:p w:rsidR="00C43B92" w:rsidRDefault="00C43B92" w:rsidP="0019680E">
      <w:pPr>
        <w:pStyle w:val="Ttulo3"/>
        <w:jc w:val="both"/>
      </w:pPr>
    </w:p>
    <w:p w:rsidR="00EB31A5" w:rsidRPr="00EB31A5" w:rsidRDefault="00EB31A5" w:rsidP="0019680E">
      <w:pPr>
        <w:pStyle w:val="Ttulo3"/>
        <w:jc w:val="both"/>
      </w:pPr>
      <w:bookmarkStart w:id="36" w:name="_Toc6842226"/>
      <w:r w:rsidRPr="00EB31A5">
        <w:t>4.2.7</w:t>
      </w:r>
      <w:r w:rsidR="006D37B1">
        <w:t xml:space="preserve"> </w:t>
      </w:r>
      <w:r w:rsidRPr="00EB31A5">
        <w:t>Taxas Reprodutivas</w:t>
      </w:r>
      <w:bookmarkEnd w:id="36"/>
    </w:p>
    <w:p w:rsidR="00EB31A5" w:rsidRPr="00EB31A5" w:rsidRDefault="00EB31A5" w:rsidP="0019680E">
      <w:pPr>
        <w:pStyle w:val="PargrafodaLista"/>
        <w:numPr>
          <w:ilvl w:val="0"/>
          <w:numId w:val="7"/>
        </w:numPr>
        <w:spacing w:after="160"/>
        <w:ind w:firstLine="0"/>
        <w:jc w:val="both"/>
        <w:rPr>
          <w:rFonts w:cs="Arial"/>
          <w:szCs w:val="24"/>
        </w:rPr>
      </w:pPr>
      <w:r w:rsidRPr="00EB31A5">
        <w:rPr>
          <w:rFonts w:cs="Arial"/>
          <w:szCs w:val="24"/>
        </w:rPr>
        <w:t xml:space="preserve">Taxa de acasalamento </w:t>
      </w:r>
    </w:p>
    <w:p w:rsidR="00EB31A5" w:rsidRPr="00EB31A5" w:rsidRDefault="00C43B92" w:rsidP="0019680E">
      <w:pPr>
        <w:jc w:val="both"/>
        <w:rPr>
          <w:rFonts w:cs="Arial"/>
          <w:szCs w:val="24"/>
        </w:rPr>
      </w:pPr>
      <w:r>
        <w:rPr>
          <w:rFonts w:cs="Arial"/>
          <w:szCs w:val="24"/>
        </w:rPr>
        <w:tab/>
      </w:r>
      <w:r w:rsidR="00EB31A5" w:rsidRPr="00EB31A5">
        <w:rPr>
          <w:rFonts w:cs="Arial"/>
          <w:szCs w:val="24"/>
        </w:rPr>
        <w:t xml:space="preserve">Representada pela divisão (quociente) entre o número de fêmeas com esfregaço vaginal positivo (presença de espermatozoides) e o número de fêmeas acasaladas vezes cem. </w:t>
      </w:r>
    </w:p>
    <w:p w:rsidR="00EB31A5" w:rsidRPr="00EB31A5" w:rsidRDefault="00EB31A5" w:rsidP="0019680E">
      <w:pPr>
        <w:jc w:val="both"/>
        <w:rPr>
          <w:rFonts w:cs="Arial"/>
          <w:szCs w:val="24"/>
        </w:rPr>
      </w:pPr>
      <w:r w:rsidRPr="00EB31A5">
        <w:rPr>
          <w:rFonts w:cs="Arial"/>
          <w:szCs w:val="24"/>
          <w:u w:val="single"/>
        </w:rPr>
        <w:t>Nº de fêmeas com espermatozoides no esfregaço vaginal</w:t>
      </w:r>
      <w:r w:rsidRPr="00EB31A5">
        <w:rPr>
          <w:rFonts w:cs="Arial"/>
          <w:szCs w:val="24"/>
        </w:rPr>
        <w:t xml:space="preserve"> x 100  </w:t>
      </w:r>
    </w:p>
    <w:p w:rsidR="00EB31A5" w:rsidRDefault="00EB31A5" w:rsidP="0019680E">
      <w:pPr>
        <w:jc w:val="both"/>
        <w:rPr>
          <w:rFonts w:cs="Arial"/>
          <w:szCs w:val="24"/>
        </w:rPr>
      </w:pPr>
      <w:r w:rsidRPr="00EB31A5">
        <w:rPr>
          <w:rFonts w:cs="Arial"/>
          <w:szCs w:val="24"/>
        </w:rPr>
        <w:t xml:space="preserve">Nº de fêmeas acasaladas </w:t>
      </w:r>
    </w:p>
    <w:p w:rsidR="00C43B92" w:rsidRPr="00EB31A5" w:rsidRDefault="00C43B92" w:rsidP="0019680E">
      <w:pPr>
        <w:jc w:val="both"/>
        <w:rPr>
          <w:rFonts w:cs="Arial"/>
          <w:szCs w:val="24"/>
        </w:rPr>
      </w:pPr>
    </w:p>
    <w:p w:rsidR="00EB31A5" w:rsidRPr="00EB31A5" w:rsidRDefault="00EB31A5" w:rsidP="0019680E">
      <w:pPr>
        <w:pStyle w:val="PargrafodaLista"/>
        <w:numPr>
          <w:ilvl w:val="0"/>
          <w:numId w:val="7"/>
        </w:numPr>
        <w:spacing w:after="160"/>
        <w:ind w:firstLine="0"/>
        <w:jc w:val="both"/>
        <w:rPr>
          <w:rFonts w:cs="Arial"/>
          <w:szCs w:val="24"/>
        </w:rPr>
      </w:pPr>
      <w:r w:rsidRPr="00EB31A5">
        <w:rPr>
          <w:rFonts w:cs="Arial"/>
          <w:szCs w:val="24"/>
        </w:rPr>
        <w:lastRenderedPageBreak/>
        <w:t xml:space="preserve">Taxa de gestação </w:t>
      </w:r>
    </w:p>
    <w:p w:rsidR="00EB31A5" w:rsidRPr="00EB31A5" w:rsidRDefault="00C43B92" w:rsidP="0019680E">
      <w:pPr>
        <w:jc w:val="both"/>
        <w:rPr>
          <w:rFonts w:cs="Arial"/>
          <w:szCs w:val="24"/>
        </w:rPr>
      </w:pPr>
      <w:r>
        <w:rPr>
          <w:rFonts w:cs="Arial"/>
          <w:szCs w:val="24"/>
        </w:rPr>
        <w:tab/>
      </w:r>
      <w:r w:rsidR="00EB31A5" w:rsidRPr="00EB31A5">
        <w:rPr>
          <w:rFonts w:cs="Arial"/>
          <w:szCs w:val="24"/>
        </w:rPr>
        <w:t xml:space="preserve">Representada pela divisão (quociente) entre o número de fêmeas prenhes e o número de fêmeas com esfregaço vaginal positivo (presença de espermatozoides) vezes cem.    </w:t>
      </w:r>
    </w:p>
    <w:p w:rsidR="00EB31A5" w:rsidRPr="00EB31A5" w:rsidRDefault="00EB31A5" w:rsidP="0019680E">
      <w:pPr>
        <w:jc w:val="both"/>
        <w:rPr>
          <w:rFonts w:cs="Arial"/>
          <w:szCs w:val="24"/>
        </w:rPr>
      </w:pPr>
      <w:r w:rsidRPr="00EB31A5">
        <w:rPr>
          <w:rFonts w:cs="Arial"/>
          <w:szCs w:val="24"/>
          <w:u w:val="single"/>
        </w:rPr>
        <w:t>Nº de fêmeas prenhes</w:t>
      </w:r>
      <w:r w:rsidRPr="00EB31A5">
        <w:rPr>
          <w:rFonts w:cs="Arial"/>
          <w:szCs w:val="24"/>
        </w:rPr>
        <w:t xml:space="preserve"> x 100</w:t>
      </w:r>
    </w:p>
    <w:p w:rsidR="00EB31A5" w:rsidRDefault="00EB31A5" w:rsidP="0019680E">
      <w:pPr>
        <w:jc w:val="both"/>
        <w:rPr>
          <w:rFonts w:cs="Arial"/>
          <w:szCs w:val="24"/>
        </w:rPr>
      </w:pPr>
      <w:r w:rsidRPr="00EB31A5">
        <w:rPr>
          <w:rFonts w:cs="Arial"/>
          <w:szCs w:val="24"/>
        </w:rPr>
        <w:t xml:space="preserve">Nº de fêmeas com espermatozoides no esfregaço vaginal </w:t>
      </w:r>
    </w:p>
    <w:p w:rsidR="00C43B92" w:rsidRPr="00EB31A5" w:rsidRDefault="00C43B92" w:rsidP="0019680E">
      <w:pPr>
        <w:jc w:val="both"/>
        <w:rPr>
          <w:rFonts w:cs="Arial"/>
          <w:szCs w:val="24"/>
        </w:rPr>
      </w:pPr>
    </w:p>
    <w:p w:rsidR="00EB31A5" w:rsidRPr="00EB31A5" w:rsidRDefault="00EB31A5" w:rsidP="0019680E">
      <w:pPr>
        <w:pStyle w:val="PargrafodaLista"/>
        <w:numPr>
          <w:ilvl w:val="0"/>
          <w:numId w:val="7"/>
        </w:numPr>
        <w:spacing w:after="160"/>
        <w:ind w:firstLine="0"/>
        <w:jc w:val="both"/>
        <w:rPr>
          <w:rFonts w:cs="Arial"/>
          <w:szCs w:val="24"/>
        </w:rPr>
      </w:pPr>
      <w:r w:rsidRPr="00EB31A5">
        <w:rPr>
          <w:rFonts w:cs="Arial"/>
          <w:szCs w:val="24"/>
        </w:rPr>
        <w:t xml:space="preserve">Taxa de parto </w:t>
      </w:r>
    </w:p>
    <w:p w:rsidR="00EB31A5" w:rsidRPr="00EB31A5" w:rsidRDefault="00C43B92" w:rsidP="0019680E">
      <w:pPr>
        <w:jc w:val="both"/>
        <w:rPr>
          <w:rFonts w:cs="Arial"/>
          <w:szCs w:val="24"/>
        </w:rPr>
      </w:pPr>
      <w:r>
        <w:rPr>
          <w:rFonts w:cs="Arial"/>
          <w:szCs w:val="24"/>
        </w:rPr>
        <w:tab/>
      </w:r>
      <w:r w:rsidR="00EB31A5" w:rsidRPr="00EB31A5">
        <w:rPr>
          <w:rFonts w:cs="Arial"/>
          <w:szCs w:val="24"/>
        </w:rPr>
        <w:t xml:space="preserve">Representada pela divisão (quociente) entre o número de fêmeas paridas a termo e o número de fêmeas gestantes vezes cem.                         </w:t>
      </w:r>
    </w:p>
    <w:p w:rsidR="00EB31A5" w:rsidRPr="00EB31A5" w:rsidRDefault="00EB31A5" w:rsidP="0019680E">
      <w:pPr>
        <w:jc w:val="both"/>
        <w:rPr>
          <w:rFonts w:cs="Arial"/>
          <w:szCs w:val="24"/>
        </w:rPr>
      </w:pPr>
      <w:r w:rsidRPr="00EB31A5">
        <w:rPr>
          <w:rFonts w:cs="Arial"/>
          <w:szCs w:val="24"/>
          <w:u w:val="single"/>
        </w:rPr>
        <w:t>Nº de fêmeas paridas a termo</w:t>
      </w:r>
      <w:r w:rsidRPr="00EB31A5">
        <w:rPr>
          <w:rFonts w:cs="Arial"/>
          <w:szCs w:val="24"/>
        </w:rPr>
        <w:t xml:space="preserve"> x 100             </w:t>
      </w:r>
    </w:p>
    <w:p w:rsidR="00EB31A5" w:rsidRDefault="00EB31A5" w:rsidP="0019680E">
      <w:pPr>
        <w:jc w:val="both"/>
        <w:rPr>
          <w:rFonts w:cs="Arial"/>
          <w:szCs w:val="24"/>
        </w:rPr>
      </w:pPr>
      <w:r w:rsidRPr="00EB31A5">
        <w:rPr>
          <w:rFonts w:cs="Arial"/>
          <w:szCs w:val="24"/>
        </w:rPr>
        <w:t xml:space="preserve">Nº de fêmeas prenhes </w:t>
      </w:r>
    </w:p>
    <w:p w:rsidR="00C43B92" w:rsidRPr="00EB31A5" w:rsidRDefault="00C43B92" w:rsidP="0019680E">
      <w:pPr>
        <w:jc w:val="both"/>
        <w:rPr>
          <w:rFonts w:cs="Arial"/>
          <w:szCs w:val="24"/>
        </w:rPr>
      </w:pPr>
    </w:p>
    <w:p w:rsidR="00EB31A5" w:rsidRPr="00EB31A5" w:rsidRDefault="00EB31A5" w:rsidP="0019680E">
      <w:pPr>
        <w:pStyle w:val="PargrafodaLista"/>
        <w:numPr>
          <w:ilvl w:val="0"/>
          <w:numId w:val="7"/>
        </w:numPr>
        <w:spacing w:after="160"/>
        <w:ind w:firstLine="0"/>
        <w:jc w:val="both"/>
        <w:rPr>
          <w:rFonts w:cs="Arial"/>
          <w:szCs w:val="24"/>
        </w:rPr>
      </w:pPr>
      <w:r w:rsidRPr="00EB31A5">
        <w:rPr>
          <w:rFonts w:cs="Arial"/>
          <w:szCs w:val="24"/>
        </w:rPr>
        <w:t xml:space="preserve">Taxa de natalidade </w:t>
      </w:r>
    </w:p>
    <w:p w:rsidR="00EB31A5" w:rsidRPr="00EB31A5" w:rsidRDefault="00C43B92" w:rsidP="0019680E">
      <w:pPr>
        <w:jc w:val="both"/>
        <w:rPr>
          <w:rFonts w:cs="Arial"/>
          <w:szCs w:val="24"/>
        </w:rPr>
      </w:pPr>
      <w:r>
        <w:rPr>
          <w:rFonts w:cs="Arial"/>
          <w:szCs w:val="24"/>
        </w:rPr>
        <w:tab/>
      </w:r>
      <w:r w:rsidR="00EB31A5" w:rsidRPr="00EB31A5">
        <w:rPr>
          <w:rFonts w:cs="Arial"/>
          <w:szCs w:val="24"/>
        </w:rPr>
        <w:t>Representada pela divisão (quociente) entre número total de filhotes nascidos vivos e o número total dos filhotes nascidos (vivos e/ou mortos) vezes cem.</w:t>
      </w:r>
    </w:p>
    <w:p w:rsidR="00EB31A5" w:rsidRPr="00EB31A5" w:rsidRDefault="00EB31A5" w:rsidP="0019680E">
      <w:pPr>
        <w:jc w:val="both"/>
        <w:rPr>
          <w:rFonts w:cs="Arial"/>
          <w:szCs w:val="24"/>
        </w:rPr>
      </w:pPr>
      <w:r w:rsidRPr="00EB31A5">
        <w:rPr>
          <w:rFonts w:cs="Arial"/>
          <w:szCs w:val="24"/>
          <w:u w:val="single"/>
        </w:rPr>
        <w:t>Nº de filhotes nascidos vivos</w:t>
      </w:r>
      <w:r w:rsidRPr="00EB31A5">
        <w:rPr>
          <w:rFonts w:cs="Arial"/>
          <w:szCs w:val="24"/>
        </w:rPr>
        <w:t xml:space="preserve"> x 100 </w:t>
      </w:r>
    </w:p>
    <w:p w:rsidR="00EB31A5" w:rsidRDefault="00EB31A5" w:rsidP="0019680E">
      <w:pPr>
        <w:jc w:val="both"/>
        <w:rPr>
          <w:rFonts w:cs="Arial"/>
          <w:szCs w:val="24"/>
        </w:rPr>
      </w:pPr>
      <w:r w:rsidRPr="00EB31A5">
        <w:rPr>
          <w:rFonts w:cs="Arial"/>
          <w:szCs w:val="24"/>
        </w:rPr>
        <w:t xml:space="preserve">Nº de filhotes nascidos </w:t>
      </w:r>
    </w:p>
    <w:p w:rsidR="00C43B92" w:rsidRPr="00EB31A5" w:rsidRDefault="00C43B92" w:rsidP="0019680E">
      <w:pPr>
        <w:jc w:val="both"/>
        <w:rPr>
          <w:rFonts w:cs="Arial"/>
          <w:szCs w:val="24"/>
        </w:rPr>
      </w:pPr>
    </w:p>
    <w:p w:rsidR="00EB31A5" w:rsidRPr="00EB31A5" w:rsidRDefault="00EB31A5" w:rsidP="0019680E">
      <w:pPr>
        <w:pStyle w:val="PargrafodaLista"/>
        <w:numPr>
          <w:ilvl w:val="0"/>
          <w:numId w:val="7"/>
        </w:numPr>
        <w:spacing w:after="160"/>
        <w:ind w:firstLine="0"/>
        <w:jc w:val="both"/>
        <w:rPr>
          <w:rFonts w:cs="Arial"/>
          <w:szCs w:val="24"/>
        </w:rPr>
      </w:pPr>
      <w:r w:rsidRPr="00EB31A5">
        <w:rPr>
          <w:rFonts w:cs="Arial"/>
          <w:szCs w:val="24"/>
        </w:rPr>
        <w:t xml:space="preserve">Taxa de viabilidade </w:t>
      </w:r>
    </w:p>
    <w:p w:rsidR="00EB31A5" w:rsidRPr="00EB31A5" w:rsidRDefault="00C43B92" w:rsidP="0019680E">
      <w:pPr>
        <w:jc w:val="both"/>
        <w:rPr>
          <w:rFonts w:cs="Arial"/>
          <w:szCs w:val="24"/>
        </w:rPr>
      </w:pPr>
      <w:r>
        <w:rPr>
          <w:rFonts w:cs="Arial"/>
          <w:szCs w:val="24"/>
        </w:rPr>
        <w:tab/>
      </w:r>
      <w:r w:rsidR="00EB31A5" w:rsidRPr="00EB31A5">
        <w:rPr>
          <w:rFonts w:cs="Arial"/>
          <w:szCs w:val="24"/>
        </w:rPr>
        <w:t xml:space="preserve">Representada pela divisão (quociente) entre o número de filhotes que permaneceram vivos até o quarto dia de lactação e o número total de filhotes nascidos vivos vezes cem. </w:t>
      </w:r>
    </w:p>
    <w:p w:rsidR="00EB31A5" w:rsidRPr="00EB31A5" w:rsidRDefault="00EB31A5" w:rsidP="0019680E">
      <w:pPr>
        <w:jc w:val="both"/>
        <w:rPr>
          <w:rFonts w:cs="Arial"/>
          <w:szCs w:val="24"/>
        </w:rPr>
      </w:pPr>
      <w:r w:rsidRPr="00EB31A5">
        <w:rPr>
          <w:rFonts w:cs="Arial"/>
          <w:szCs w:val="24"/>
          <w:u w:val="single"/>
        </w:rPr>
        <w:t>Nº de filhotes vivos até o 4º dia de lactação</w:t>
      </w:r>
      <w:r w:rsidRPr="00EB31A5">
        <w:rPr>
          <w:rFonts w:cs="Arial"/>
          <w:szCs w:val="24"/>
        </w:rPr>
        <w:t xml:space="preserve"> x 100  </w:t>
      </w:r>
    </w:p>
    <w:p w:rsidR="00EB31A5" w:rsidRDefault="00EB31A5" w:rsidP="0019680E">
      <w:pPr>
        <w:jc w:val="both"/>
        <w:rPr>
          <w:rFonts w:cs="Arial"/>
          <w:szCs w:val="24"/>
        </w:rPr>
      </w:pPr>
      <w:r w:rsidRPr="00EB31A5">
        <w:rPr>
          <w:rFonts w:cs="Arial"/>
          <w:szCs w:val="24"/>
        </w:rPr>
        <w:t xml:space="preserve">Nº de filhotes nascidos vivos  </w:t>
      </w:r>
    </w:p>
    <w:p w:rsidR="00C43B92" w:rsidRPr="00EB31A5" w:rsidRDefault="00C43B92" w:rsidP="0019680E">
      <w:pPr>
        <w:jc w:val="both"/>
        <w:rPr>
          <w:rFonts w:cs="Arial"/>
          <w:szCs w:val="24"/>
        </w:rPr>
      </w:pPr>
    </w:p>
    <w:p w:rsidR="00EB31A5" w:rsidRPr="00EB31A5" w:rsidRDefault="00EB31A5" w:rsidP="0019680E">
      <w:pPr>
        <w:pStyle w:val="PargrafodaLista"/>
        <w:numPr>
          <w:ilvl w:val="0"/>
          <w:numId w:val="7"/>
        </w:numPr>
        <w:spacing w:after="160"/>
        <w:ind w:firstLine="0"/>
        <w:jc w:val="both"/>
        <w:rPr>
          <w:rFonts w:cs="Arial"/>
          <w:szCs w:val="24"/>
        </w:rPr>
      </w:pPr>
      <w:r w:rsidRPr="00EB31A5">
        <w:rPr>
          <w:rFonts w:cs="Arial"/>
          <w:szCs w:val="24"/>
        </w:rPr>
        <w:t xml:space="preserve">Taxa de desmame  </w:t>
      </w:r>
    </w:p>
    <w:p w:rsidR="00EB31A5" w:rsidRPr="00EB31A5" w:rsidRDefault="00C43B92" w:rsidP="0019680E">
      <w:pPr>
        <w:jc w:val="both"/>
        <w:rPr>
          <w:rFonts w:cs="Arial"/>
          <w:szCs w:val="24"/>
        </w:rPr>
      </w:pPr>
      <w:r>
        <w:rPr>
          <w:rFonts w:cs="Arial"/>
          <w:szCs w:val="24"/>
        </w:rPr>
        <w:lastRenderedPageBreak/>
        <w:tab/>
      </w:r>
      <w:r w:rsidR="00EB31A5" w:rsidRPr="00EB31A5">
        <w:rPr>
          <w:rFonts w:cs="Arial"/>
          <w:szCs w:val="24"/>
        </w:rPr>
        <w:t xml:space="preserve">Representada pela divisão (quociente) entre o número total dos filhotes até o 21º dia de lactação e o número total de filhotes nascidos vivos vezes cem.         </w:t>
      </w:r>
    </w:p>
    <w:p w:rsidR="00EB31A5" w:rsidRPr="00EB31A5" w:rsidRDefault="00EB31A5" w:rsidP="0019680E">
      <w:pPr>
        <w:jc w:val="both"/>
        <w:rPr>
          <w:rFonts w:cs="Arial"/>
          <w:szCs w:val="24"/>
        </w:rPr>
      </w:pPr>
      <w:r w:rsidRPr="00EB31A5">
        <w:rPr>
          <w:rFonts w:cs="Arial"/>
          <w:szCs w:val="24"/>
          <w:u w:val="single"/>
        </w:rPr>
        <w:t>Nº de filhotes ao desmame</w:t>
      </w:r>
      <w:r w:rsidRPr="00EB31A5">
        <w:rPr>
          <w:rFonts w:cs="Arial"/>
          <w:szCs w:val="24"/>
        </w:rPr>
        <w:t xml:space="preserve"> x 100</w:t>
      </w:r>
    </w:p>
    <w:p w:rsidR="00EB31A5" w:rsidRPr="00EB31A5" w:rsidRDefault="00EB31A5" w:rsidP="0019680E">
      <w:pPr>
        <w:jc w:val="both"/>
        <w:rPr>
          <w:rFonts w:cs="Arial"/>
          <w:szCs w:val="24"/>
        </w:rPr>
      </w:pPr>
      <w:r w:rsidRPr="00EB31A5">
        <w:rPr>
          <w:rFonts w:cs="Arial"/>
          <w:szCs w:val="24"/>
        </w:rPr>
        <w:t>Nº de filhotes nascidos vivos</w:t>
      </w:r>
    </w:p>
    <w:p w:rsidR="009B520F" w:rsidRDefault="009B520F" w:rsidP="0019680E">
      <w:pPr>
        <w:pStyle w:val="Ttulo3"/>
        <w:jc w:val="both"/>
      </w:pPr>
      <w:bookmarkStart w:id="37" w:name="_Toc6842227"/>
    </w:p>
    <w:bookmarkEnd w:id="37"/>
    <w:p w:rsidR="00EB31A5" w:rsidRDefault="00C43B92" w:rsidP="0019680E">
      <w:pPr>
        <w:jc w:val="both"/>
        <w:rPr>
          <w:rFonts w:cs="Arial"/>
          <w:szCs w:val="24"/>
        </w:rPr>
      </w:pPr>
      <w:r>
        <w:rPr>
          <w:rFonts w:cs="Arial"/>
          <w:szCs w:val="24"/>
        </w:rPr>
        <w:tab/>
      </w:r>
      <w:r w:rsidR="00EB31A5" w:rsidRPr="00EB31A5">
        <w:rPr>
          <w:rFonts w:cs="Arial"/>
          <w:szCs w:val="24"/>
        </w:rPr>
        <w:t xml:space="preserve">Após o desmame (21º dia de lactação) os animais serão colocados em caixas coletivas, por ninhada, e ao final do acompanhamento do desenvolvimento físico geral e sexual (aproximadamente 40 dias de vida) serão entregues para a mestranda do Programa de Pós-Graduação em Ciências Veterinárias da Universidade Federal do Rio Grande do Sul, Muriel Rodrigues Ferraz de Oliveira. Serão, então, utilizados no projeto intitulado “Avaliação da Toxicidade Peri e Pós-Natal (Segmento III) do Óleo Essencial de </w:t>
      </w:r>
      <w:bookmarkStart w:id="38" w:name="_Hlk6237524"/>
      <w:r w:rsidR="00EB31A5" w:rsidRPr="00EB31A5">
        <w:rPr>
          <w:rFonts w:cs="Arial"/>
          <w:i/>
          <w:szCs w:val="24"/>
        </w:rPr>
        <w:t>Olea europaea</w:t>
      </w:r>
      <w:r w:rsidR="00EB31A5" w:rsidRPr="00EB31A5">
        <w:rPr>
          <w:rFonts w:cs="Arial"/>
          <w:szCs w:val="24"/>
        </w:rPr>
        <w:t xml:space="preserve"> em Ratos </w:t>
      </w:r>
      <w:proofErr w:type="spellStart"/>
      <w:r w:rsidR="00EB31A5" w:rsidRPr="00EB31A5">
        <w:rPr>
          <w:rFonts w:cs="Arial"/>
          <w:szCs w:val="24"/>
        </w:rPr>
        <w:t>Wistar</w:t>
      </w:r>
      <w:proofErr w:type="spellEnd"/>
      <w:r w:rsidR="00EB31A5" w:rsidRPr="00EB31A5">
        <w:rPr>
          <w:rFonts w:cs="Arial"/>
          <w:szCs w:val="24"/>
        </w:rPr>
        <w:t>”.</w:t>
      </w:r>
      <w:bookmarkEnd w:id="38"/>
    </w:p>
    <w:p w:rsidR="00EB31A5" w:rsidRPr="00EB31A5" w:rsidRDefault="00EB31A5" w:rsidP="0019680E">
      <w:pPr>
        <w:jc w:val="both"/>
        <w:rPr>
          <w:rFonts w:cs="Arial"/>
          <w:szCs w:val="24"/>
        </w:rPr>
      </w:pPr>
    </w:p>
    <w:p w:rsidR="00EB31A5" w:rsidRPr="00EB31A5" w:rsidRDefault="00EB31A5" w:rsidP="0019680E">
      <w:pPr>
        <w:pStyle w:val="Ttulo3"/>
        <w:jc w:val="both"/>
      </w:pPr>
      <w:bookmarkStart w:id="39" w:name="_Toc6842228"/>
      <w:r w:rsidRPr="00EB31A5">
        <w:t>4.2.</w:t>
      </w:r>
      <w:r w:rsidR="00FD322F">
        <w:t>8</w:t>
      </w:r>
      <w:bookmarkStart w:id="40" w:name="_GoBack"/>
      <w:bookmarkEnd w:id="40"/>
      <w:r w:rsidRPr="00EB31A5">
        <w:tab/>
        <w:t>Variáveis Avaliadas</w:t>
      </w:r>
      <w:bookmarkEnd w:id="39"/>
    </w:p>
    <w:p w:rsidR="00EB31A5" w:rsidRPr="00EB31A5" w:rsidRDefault="00C43B92" w:rsidP="0019680E">
      <w:pPr>
        <w:jc w:val="both"/>
        <w:rPr>
          <w:rFonts w:cs="Arial"/>
          <w:szCs w:val="24"/>
        </w:rPr>
      </w:pPr>
      <w:r>
        <w:rPr>
          <w:rFonts w:cs="Arial"/>
          <w:szCs w:val="24"/>
        </w:rPr>
        <w:tab/>
      </w:r>
      <w:r w:rsidR="00EB31A5" w:rsidRPr="00EB31A5">
        <w:rPr>
          <w:rFonts w:cs="Arial"/>
          <w:szCs w:val="24"/>
        </w:rPr>
        <w:t xml:space="preserve">Nos machos, as variáveis a serem avaliadas serão: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Massa corporal diária (g) durante 91 dias (antes e durante o acasalamento);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Consumo diário de ração antes do acasalamento (g);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Consumo diário de água antes do acasalamento (ml);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Aparecimento de sinais de toxicidade sistêmica como: perda de peso progressiva e redução na ingestão de água e ração;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Peso relativo (%) das vísceras no dia do sacrifício (fígado, baço, rins, coração, vesícula seminal, testículo, próstata e epidídimos);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Número total de espermatozoides;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Produção diária de espermatozoides;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Percentual de alterações morfológicas nos espermatozoides;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Análise histopatológica dos órgãos enviados;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Dosagem hormonal (testosterona). </w:t>
      </w:r>
    </w:p>
    <w:p w:rsidR="00EB31A5" w:rsidRPr="00EB31A5" w:rsidRDefault="00EB31A5" w:rsidP="0019680E">
      <w:pPr>
        <w:ind w:left="708"/>
        <w:jc w:val="both"/>
        <w:rPr>
          <w:rFonts w:cs="Arial"/>
          <w:szCs w:val="24"/>
        </w:rPr>
      </w:pPr>
      <w:r w:rsidRPr="00EB31A5">
        <w:rPr>
          <w:rFonts w:cs="Arial"/>
          <w:szCs w:val="24"/>
        </w:rPr>
        <w:t xml:space="preserve">Nas fêmeas serão avaliados: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lastRenderedPageBreak/>
        <w:t xml:space="preserve">Massa corporal diária (g) durante o </w:t>
      </w:r>
      <w:proofErr w:type="spellStart"/>
      <w:r w:rsidRPr="00EB31A5">
        <w:rPr>
          <w:rFonts w:cs="Arial"/>
          <w:szCs w:val="24"/>
        </w:rPr>
        <w:t>pré</w:t>
      </w:r>
      <w:proofErr w:type="spellEnd"/>
      <w:r w:rsidRPr="00EB31A5">
        <w:rPr>
          <w:rFonts w:cs="Arial"/>
          <w:szCs w:val="24"/>
        </w:rPr>
        <w:t>-acasalamento, gestação e lactação;</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Consumo diário de ração (g) no </w:t>
      </w:r>
      <w:proofErr w:type="spellStart"/>
      <w:r w:rsidRPr="00EB31A5">
        <w:rPr>
          <w:rFonts w:cs="Arial"/>
          <w:szCs w:val="24"/>
        </w:rPr>
        <w:t>pré</w:t>
      </w:r>
      <w:proofErr w:type="spellEnd"/>
      <w:r w:rsidRPr="00EB31A5">
        <w:rPr>
          <w:rFonts w:cs="Arial"/>
          <w:szCs w:val="24"/>
        </w:rPr>
        <w:t xml:space="preserve">-acasalamento e gestação;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Consumo diário de água (ml) durante o </w:t>
      </w:r>
      <w:proofErr w:type="spellStart"/>
      <w:r w:rsidRPr="00EB31A5">
        <w:rPr>
          <w:rFonts w:cs="Arial"/>
          <w:szCs w:val="24"/>
        </w:rPr>
        <w:t>pré</w:t>
      </w:r>
      <w:proofErr w:type="spellEnd"/>
      <w:r w:rsidRPr="00EB31A5">
        <w:rPr>
          <w:rFonts w:cs="Arial"/>
          <w:szCs w:val="24"/>
        </w:rPr>
        <w:t xml:space="preserve">-acasalamento e gestação;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Sinais de toxicidade sistêmica como: perda de peso progressiva e redução na ingestão de água e ração;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Sinais de aborto, </w:t>
      </w:r>
      <w:proofErr w:type="spellStart"/>
      <w:r w:rsidRPr="00EB31A5">
        <w:rPr>
          <w:rFonts w:cs="Arial"/>
          <w:szCs w:val="24"/>
        </w:rPr>
        <w:t>distocia</w:t>
      </w:r>
      <w:proofErr w:type="spellEnd"/>
      <w:r w:rsidRPr="00EB31A5">
        <w:rPr>
          <w:rFonts w:cs="Arial"/>
          <w:szCs w:val="24"/>
        </w:rPr>
        <w:t xml:space="preserve"> e prolongamento do período gestacional;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Peso relativo (%) dos órgãos ao final da lactação (fígado, rins, baço, coração, ovários e útero);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Número de implantes uterinos;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Comportamento maternal;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Percentual de mortalidade durante o experimento;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Análise histopatológica dos órgãos enviados; </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 xml:space="preserve">Análise das taxas reprodutivas. </w:t>
      </w:r>
    </w:p>
    <w:p w:rsidR="00EB31A5" w:rsidRPr="00EB31A5" w:rsidRDefault="00EB31A5" w:rsidP="0019680E">
      <w:pPr>
        <w:ind w:left="708"/>
        <w:jc w:val="both"/>
        <w:rPr>
          <w:rFonts w:cs="Arial"/>
          <w:szCs w:val="24"/>
        </w:rPr>
      </w:pPr>
      <w:r w:rsidRPr="00EB31A5">
        <w:rPr>
          <w:rFonts w:cs="Arial"/>
          <w:szCs w:val="24"/>
        </w:rPr>
        <w:t>Nos filhotes serão avaliados:</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Alterações macroscópicas externas em todos os filhotes nascidos;</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Número de filhotes por ninhada;</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Número de machos e fêmeas nascidos;</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Número de filhotes nascidos vivos;</w:t>
      </w:r>
    </w:p>
    <w:p w:rsidR="00EB31A5" w:rsidRPr="00EB31A5" w:rsidRDefault="00EB31A5" w:rsidP="0019680E">
      <w:pPr>
        <w:pStyle w:val="PargrafodaLista"/>
        <w:numPr>
          <w:ilvl w:val="0"/>
          <w:numId w:val="7"/>
        </w:numPr>
        <w:ind w:firstLine="0"/>
        <w:jc w:val="both"/>
        <w:rPr>
          <w:rFonts w:cs="Arial"/>
          <w:szCs w:val="24"/>
        </w:rPr>
      </w:pPr>
      <w:r w:rsidRPr="00EB31A5">
        <w:rPr>
          <w:rFonts w:cs="Arial"/>
          <w:szCs w:val="24"/>
        </w:rPr>
        <w:t>Número de filhotes nascidos mortos;</w:t>
      </w:r>
    </w:p>
    <w:p w:rsidR="00EB31A5" w:rsidRPr="00EB31A5" w:rsidRDefault="00EB31A5" w:rsidP="0019680E">
      <w:pPr>
        <w:jc w:val="both"/>
        <w:rPr>
          <w:rFonts w:cs="Arial"/>
          <w:szCs w:val="24"/>
        </w:rPr>
      </w:pPr>
    </w:p>
    <w:p w:rsidR="00EB31A5" w:rsidRPr="00EB31A5" w:rsidRDefault="00EB31A5" w:rsidP="00011AF1">
      <w:pPr>
        <w:pStyle w:val="Ttulo2"/>
      </w:pPr>
      <w:bookmarkStart w:id="41" w:name="_Toc6842229"/>
      <w:r w:rsidRPr="00EB31A5">
        <w:t>4.3 Resultados e Análise Estatística</w:t>
      </w:r>
      <w:bookmarkEnd w:id="41"/>
    </w:p>
    <w:p w:rsidR="00EB31A5" w:rsidRPr="00EB31A5" w:rsidRDefault="00EB31A5" w:rsidP="0019680E">
      <w:pPr>
        <w:jc w:val="both"/>
        <w:rPr>
          <w:rFonts w:cs="Arial"/>
          <w:szCs w:val="24"/>
        </w:rPr>
      </w:pPr>
      <w:r w:rsidRPr="00EB31A5">
        <w:rPr>
          <w:rFonts w:cs="Arial"/>
          <w:szCs w:val="24"/>
        </w:rPr>
        <w:tab/>
        <w:t xml:space="preserve">As variáveis quantitativas referentes à influência das diferentes doses do óleo essencial de </w:t>
      </w:r>
      <w:r w:rsidRPr="00EB31A5">
        <w:rPr>
          <w:rFonts w:cs="Arial"/>
          <w:i/>
          <w:szCs w:val="24"/>
        </w:rPr>
        <w:t>Olea europaea</w:t>
      </w:r>
      <w:r w:rsidRPr="00EB31A5">
        <w:rPr>
          <w:rFonts w:cs="Arial"/>
          <w:szCs w:val="24"/>
        </w:rPr>
        <w:t xml:space="preserve"> sobre o desenvolvimento ponderal dos animais de cada grupo, o consumo de água e de ração, a massa relativa dos órgãos de machos e fêmeas, o número de espermatozoides e produção diária, as variáveis reprodutivas referentes às fêmeas que parirem a termo e às fêmeas que sofrerem cesariana, o desenvolvimento ponderal das progênies (individual ou geral), serão comparadas através da análise de variância (ANOVA). Sempre que se fizer necessária comparação entre médias, será utilizado o Teste de </w:t>
      </w:r>
      <w:proofErr w:type="spellStart"/>
      <w:r w:rsidRPr="00EB31A5">
        <w:rPr>
          <w:rFonts w:cs="Arial"/>
          <w:szCs w:val="24"/>
        </w:rPr>
        <w:t>Bonferroni</w:t>
      </w:r>
      <w:proofErr w:type="spellEnd"/>
      <w:r w:rsidRPr="00EB31A5">
        <w:rPr>
          <w:rFonts w:cs="Arial"/>
          <w:szCs w:val="24"/>
        </w:rPr>
        <w:t xml:space="preserve">. </w:t>
      </w:r>
    </w:p>
    <w:p w:rsidR="00C43B92" w:rsidRDefault="00C43B92" w:rsidP="0019680E">
      <w:pPr>
        <w:jc w:val="both"/>
        <w:rPr>
          <w:rFonts w:cs="Arial"/>
          <w:szCs w:val="24"/>
        </w:rPr>
      </w:pPr>
      <w:r>
        <w:rPr>
          <w:rFonts w:cs="Arial"/>
          <w:szCs w:val="24"/>
        </w:rPr>
        <w:tab/>
      </w:r>
    </w:p>
    <w:p w:rsidR="00C43B92" w:rsidRDefault="00C43B92">
      <w:pPr>
        <w:spacing w:before="0" w:after="160" w:line="259" w:lineRule="auto"/>
        <w:rPr>
          <w:rFonts w:cs="Arial"/>
          <w:szCs w:val="24"/>
        </w:rPr>
      </w:pPr>
      <w:r>
        <w:rPr>
          <w:rFonts w:cs="Arial"/>
          <w:szCs w:val="24"/>
        </w:rPr>
        <w:lastRenderedPageBreak/>
        <w:br w:type="page"/>
      </w:r>
    </w:p>
    <w:p w:rsidR="00EB31A5" w:rsidRPr="00EB31A5" w:rsidRDefault="00C43B92" w:rsidP="0019680E">
      <w:pPr>
        <w:jc w:val="both"/>
        <w:rPr>
          <w:rFonts w:cs="Arial"/>
          <w:szCs w:val="24"/>
        </w:rPr>
      </w:pPr>
      <w:r>
        <w:rPr>
          <w:rFonts w:cs="Arial"/>
          <w:szCs w:val="24"/>
        </w:rPr>
        <w:lastRenderedPageBreak/>
        <w:tab/>
      </w:r>
      <w:r w:rsidR="00EB31A5" w:rsidRPr="00EB31A5">
        <w:rPr>
          <w:rFonts w:cs="Arial"/>
          <w:szCs w:val="24"/>
        </w:rPr>
        <w:t xml:space="preserve">As variáveis qualitativas referentes às taxas reprodutivas calculadas, ao percentual de alterações morfológicas nos espermatozoides e ao desenvolvimento das características gerais e sexuais das progênies, serão calculadas através de Teste </w:t>
      </w:r>
      <w:proofErr w:type="spellStart"/>
      <w:r w:rsidR="00EB31A5" w:rsidRPr="00EB31A5">
        <w:rPr>
          <w:rFonts w:cs="Arial"/>
          <w:szCs w:val="24"/>
        </w:rPr>
        <w:t>Qui</w:t>
      </w:r>
      <w:proofErr w:type="spellEnd"/>
      <w:r w:rsidR="00EB31A5" w:rsidRPr="00EB31A5">
        <w:rPr>
          <w:rFonts w:cs="Arial"/>
          <w:szCs w:val="24"/>
        </w:rPr>
        <w:t>-quadrado, todas respeitando os valores estatisticamente significativos. Os programas a serem utilizados para efetuar essa análise serão o SPSS para Windows 8.0 e o EXCEL (LAPPONI, 2000).</w:t>
      </w:r>
    </w:p>
    <w:p w:rsidR="00EB31A5" w:rsidRPr="00EB31A5" w:rsidRDefault="00EB31A5" w:rsidP="0019680E">
      <w:pPr>
        <w:jc w:val="both"/>
        <w:rPr>
          <w:rFonts w:cs="Arial"/>
          <w:szCs w:val="24"/>
        </w:rPr>
      </w:pPr>
    </w:p>
    <w:p w:rsidR="00EB31A5" w:rsidRPr="00EB31A5" w:rsidRDefault="006D37B1" w:rsidP="00011AF1">
      <w:pPr>
        <w:pStyle w:val="Ttulo2"/>
      </w:pPr>
      <w:bookmarkStart w:id="42" w:name="_Toc6842230"/>
      <w:bookmarkStart w:id="43" w:name="_Hlk6274873"/>
      <w:r>
        <w:t xml:space="preserve">4.4 </w:t>
      </w:r>
      <w:r w:rsidR="00EB31A5" w:rsidRPr="00EB31A5">
        <w:t>Conduta com Animais, Ponto Final Humanitário e Classificação da Severidade dos Procedimentos</w:t>
      </w:r>
      <w:bookmarkEnd w:id="42"/>
      <w:r w:rsidR="00EB31A5" w:rsidRPr="00EB31A5">
        <w:t xml:space="preserve"> </w:t>
      </w:r>
    </w:p>
    <w:p w:rsidR="00EB31A5" w:rsidRPr="00EB31A5" w:rsidRDefault="00C43B92" w:rsidP="0019680E">
      <w:pPr>
        <w:jc w:val="both"/>
        <w:rPr>
          <w:rFonts w:cs="Arial"/>
          <w:szCs w:val="24"/>
        </w:rPr>
      </w:pPr>
      <w:r>
        <w:rPr>
          <w:rFonts w:cs="Arial"/>
          <w:szCs w:val="24"/>
        </w:rPr>
        <w:tab/>
      </w:r>
      <w:r w:rsidR="00EB31A5" w:rsidRPr="00EB31A5">
        <w:rPr>
          <w:rFonts w:cs="Arial"/>
          <w:szCs w:val="24"/>
        </w:rPr>
        <w:t>Todos os procedimentos a serem realizados neste projeto apresentarão os princípios de condutas que permitam garantir o cuidado e o manejo ético dos animais utilizados para fim científico, com base na “Diretriz Brasileira Para Cuidado e a Utilização de Animais para Fins Científicos e Didáticos – DBCA” (CONCEA, 2016).</w:t>
      </w:r>
    </w:p>
    <w:p w:rsidR="00C43B92" w:rsidRDefault="00EB31A5" w:rsidP="0019680E">
      <w:pPr>
        <w:jc w:val="both"/>
        <w:rPr>
          <w:rFonts w:cs="Arial"/>
          <w:szCs w:val="24"/>
        </w:rPr>
      </w:pPr>
      <w:r w:rsidRPr="00EB31A5">
        <w:rPr>
          <w:rFonts w:cs="Arial"/>
          <w:szCs w:val="24"/>
        </w:rPr>
        <w:t>Serão levados em consideração os preceitos vigentes na Lei n° 11.794, de 2008 (BRASIL, 2008). O bem-estar dos animais será avaliado diariamente através de observações do comportamento e consumo de água e ração pelos animais. Os animais também serão monitorados durante e após os procedimentos, principalmente nos procedimentos de tratamento (</w:t>
      </w:r>
      <w:proofErr w:type="spellStart"/>
      <w:r w:rsidRPr="00EB31A5">
        <w:rPr>
          <w:rFonts w:cs="Arial"/>
          <w:szCs w:val="24"/>
        </w:rPr>
        <w:t>gavagem</w:t>
      </w:r>
      <w:proofErr w:type="spellEnd"/>
      <w:r w:rsidRPr="00EB31A5">
        <w:rPr>
          <w:rFonts w:cs="Arial"/>
          <w:szCs w:val="24"/>
        </w:rPr>
        <w:t xml:space="preserve">). Os seguintes sinais serão observados: mudanças no padrão de sono, hidratação, higiene e comportamento exploratório; comportamento agressivo ou anormal, depressão, postura ou movimentos anormais, vocalização anormal, alteração da função cardiovascular ou respiratória, apetite anormal, vômitos e defecação, declínio no peso corporal, alteração da temperatura corporal, hemorragias, abortamento e diurese anormal (CONCEA, 2016). Quando estes sinais forem detectados, medidas cabíveis serão tomadas para impedir ou minimizar suas consequências para os animais. Caso não seja possível o alívio da dor ou do </w:t>
      </w:r>
      <w:proofErr w:type="spellStart"/>
      <w:r w:rsidRPr="00EB31A5">
        <w:rPr>
          <w:rFonts w:cs="Arial"/>
          <w:szCs w:val="24"/>
        </w:rPr>
        <w:t>distresse</w:t>
      </w:r>
      <w:proofErr w:type="spellEnd"/>
      <w:r w:rsidRPr="00EB31A5">
        <w:rPr>
          <w:rFonts w:cs="Arial"/>
          <w:szCs w:val="24"/>
        </w:rPr>
        <w:t>, o animal será removido do projeto e será realizada a eutanásia humanitária, sendo o método utilizado o inalatório e o agente anestésico será o isoflurano.</w:t>
      </w:r>
    </w:p>
    <w:p w:rsidR="00C43B92" w:rsidRDefault="00C43B92">
      <w:pPr>
        <w:spacing w:before="0" w:after="160" w:line="259" w:lineRule="auto"/>
        <w:rPr>
          <w:rFonts w:cs="Arial"/>
          <w:szCs w:val="24"/>
        </w:rPr>
      </w:pPr>
      <w:r>
        <w:rPr>
          <w:rFonts w:cs="Arial"/>
          <w:szCs w:val="24"/>
        </w:rPr>
        <w:br w:type="page"/>
      </w:r>
    </w:p>
    <w:p w:rsidR="00EB31A5" w:rsidRPr="00EB31A5" w:rsidRDefault="00C43B92" w:rsidP="0019680E">
      <w:pPr>
        <w:jc w:val="both"/>
        <w:rPr>
          <w:rFonts w:cs="Arial"/>
          <w:szCs w:val="24"/>
        </w:rPr>
      </w:pPr>
      <w:r>
        <w:rPr>
          <w:rFonts w:cs="Arial"/>
          <w:szCs w:val="24"/>
        </w:rPr>
        <w:lastRenderedPageBreak/>
        <w:tab/>
      </w:r>
      <w:r w:rsidR="00EB31A5" w:rsidRPr="00EB31A5">
        <w:rPr>
          <w:rFonts w:cs="Arial"/>
          <w:szCs w:val="24"/>
        </w:rPr>
        <w:t>A imobilização dos animais, quando necessária, será adequada à manutenção do bem-estar animal, por curto período de tempo e manterá a segurança de quem maneja o animal.</w:t>
      </w:r>
    </w:p>
    <w:p w:rsidR="00EB31A5" w:rsidRPr="00EB31A5" w:rsidRDefault="00EB31A5" w:rsidP="0019680E">
      <w:pPr>
        <w:jc w:val="both"/>
        <w:rPr>
          <w:rFonts w:cs="Arial"/>
          <w:szCs w:val="24"/>
        </w:rPr>
      </w:pPr>
      <w:r w:rsidRPr="00EB31A5">
        <w:rPr>
          <w:rFonts w:cs="Arial"/>
          <w:szCs w:val="24"/>
        </w:rPr>
        <w:tab/>
        <w:t xml:space="preserve">O alojamento, manejo e eutanásia dos animais seguirão a Lei nº 11.794, de 8 de outubro de 2008 (BRASIL, 2008) e o Decreto Nº 6.899, de 15 de julho de 2009 (BRASIL, 2009), e os princípios éticos na experimentação animal do Conselho Nacional de Controle de Experimentação Animal (CONCEA, 2016). Também serão observadas as orientações da Resolução Nº 1.000, de 11 de maio de 2012, do Conselho Federal de Medicina Veterinária (CFMV, 2012) e o “Guia Brasileiro de Boas Práticas para Eutanásia em Animais”, elaborado pela Comissão de Ética, Bioética e Bem-estar Animal do CFMV (2012). </w:t>
      </w:r>
    </w:p>
    <w:p w:rsidR="00EB31A5" w:rsidRPr="00EB31A5" w:rsidRDefault="00EB31A5" w:rsidP="0019680E">
      <w:pPr>
        <w:jc w:val="both"/>
        <w:rPr>
          <w:rFonts w:cs="Arial"/>
          <w:szCs w:val="24"/>
        </w:rPr>
      </w:pPr>
      <w:r w:rsidRPr="00EB31A5">
        <w:rPr>
          <w:rFonts w:cs="Arial"/>
          <w:szCs w:val="24"/>
        </w:rPr>
        <w:tab/>
        <w:t>A etapa experimental somente será iniciada após aprovação pelo Comitê de Ética na Utilização dos Animais da UFRGS.</w:t>
      </w:r>
    </w:p>
    <w:p w:rsidR="00EB31A5" w:rsidRPr="00EB31A5" w:rsidRDefault="00EB31A5" w:rsidP="0019680E">
      <w:pPr>
        <w:jc w:val="both"/>
        <w:rPr>
          <w:rFonts w:cs="Arial"/>
          <w:szCs w:val="24"/>
        </w:rPr>
      </w:pPr>
      <w:r w:rsidRPr="00EB31A5">
        <w:rPr>
          <w:rFonts w:cs="Arial"/>
          <w:szCs w:val="24"/>
        </w:rPr>
        <w:t>Conforme o “Guia de Severidade dos Procedimentos Científicos” (CEUA/UFRGS, 2009), estudos de toxicidade crônica com desfecho não letal são caracterizados como de grau moderado. Todos os procedimentos do ensaio serão conduzidos por profissionais habilitados, visando minimização do sofrimento animal e aplicação de sacrifícios humanizados (Tabela 1).</w:t>
      </w:r>
    </w:p>
    <w:p w:rsidR="00EB31A5" w:rsidRPr="00EB31A5" w:rsidRDefault="00EB31A5" w:rsidP="0019680E">
      <w:pPr>
        <w:pStyle w:val="Legenda"/>
        <w:keepNext/>
        <w:ind w:right="567"/>
        <w:jc w:val="both"/>
        <w:rPr>
          <w:rFonts w:ascii="Arial" w:hAnsi="Arial" w:cs="Arial"/>
          <w:i w:val="0"/>
          <w:color w:val="000000" w:themeColor="text1"/>
          <w:sz w:val="24"/>
          <w:szCs w:val="24"/>
        </w:rPr>
      </w:pPr>
      <w:r w:rsidRPr="00EB31A5">
        <w:rPr>
          <w:rFonts w:ascii="Arial" w:hAnsi="Arial" w:cs="Arial"/>
          <w:i w:val="0"/>
          <w:color w:val="000000" w:themeColor="text1"/>
          <w:sz w:val="24"/>
          <w:szCs w:val="24"/>
        </w:rPr>
        <w:t xml:space="preserve">Tabela </w:t>
      </w:r>
      <w:r w:rsidRPr="00EB31A5">
        <w:rPr>
          <w:rFonts w:ascii="Arial" w:hAnsi="Arial" w:cs="Arial"/>
          <w:i w:val="0"/>
          <w:color w:val="000000" w:themeColor="text1"/>
          <w:sz w:val="24"/>
          <w:szCs w:val="24"/>
        </w:rPr>
        <w:fldChar w:fldCharType="begin"/>
      </w:r>
      <w:r w:rsidRPr="00EB31A5">
        <w:rPr>
          <w:rFonts w:ascii="Arial" w:hAnsi="Arial" w:cs="Arial"/>
          <w:i w:val="0"/>
          <w:color w:val="000000" w:themeColor="text1"/>
          <w:sz w:val="24"/>
          <w:szCs w:val="24"/>
        </w:rPr>
        <w:instrText xml:space="preserve"> SEQ Tabela \* ARABIC </w:instrText>
      </w:r>
      <w:r w:rsidRPr="00EB31A5">
        <w:rPr>
          <w:rFonts w:ascii="Arial" w:hAnsi="Arial" w:cs="Arial"/>
          <w:i w:val="0"/>
          <w:color w:val="000000" w:themeColor="text1"/>
          <w:sz w:val="24"/>
          <w:szCs w:val="24"/>
        </w:rPr>
        <w:fldChar w:fldCharType="separate"/>
      </w:r>
      <w:r w:rsidRPr="00EB31A5">
        <w:rPr>
          <w:rFonts w:ascii="Arial" w:hAnsi="Arial" w:cs="Arial"/>
          <w:i w:val="0"/>
          <w:noProof/>
          <w:color w:val="000000" w:themeColor="text1"/>
          <w:sz w:val="24"/>
          <w:szCs w:val="24"/>
        </w:rPr>
        <w:t>1</w:t>
      </w:r>
      <w:r w:rsidRPr="00EB31A5">
        <w:rPr>
          <w:rFonts w:ascii="Arial" w:hAnsi="Arial" w:cs="Arial"/>
          <w:i w:val="0"/>
          <w:color w:val="000000" w:themeColor="text1"/>
          <w:sz w:val="24"/>
          <w:szCs w:val="24"/>
        </w:rPr>
        <w:fldChar w:fldCharType="end"/>
      </w:r>
      <w:r w:rsidRPr="00EB31A5">
        <w:rPr>
          <w:rFonts w:ascii="Arial" w:hAnsi="Arial" w:cs="Arial"/>
          <w:i w:val="0"/>
          <w:color w:val="000000" w:themeColor="text1"/>
          <w:sz w:val="24"/>
          <w:szCs w:val="24"/>
        </w:rPr>
        <w:t>. Descrição de cada procedimento a ser realizado nos animais, o grau de severidade e os critérios estabelecidos para determinar o grau de severidade de acordo com as recomendações do Guia de Severidade dos Procedimentos Científicos CEUA-UFRGS.</w:t>
      </w:r>
    </w:p>
    <w:tbl>
      <w:tblPr>
        <w:tblStyle w:val="Tabelacomgrade"/>
        <w:tblW w:w="0" w:type="auto"/>
        <w:tblLook w:val="04A0" w:firstRow="1" w:lastRow="0" w:firstColumn="1" w:lastColumn="0" w:noHBand="0" w:noVBand="1"/>
      </w:tblPr>
      <w:tblGrid>
        <w:gridCol w:w="2122"/>
        <w:gridCol w:w="2273"/>
        <w:gridCol w:w="4099"/>
      </w:tblGrid>
      <w:tr w:rsidR="00EB31A5" w:rsidRPr="00EB31A5" w:rsidTr="00235A0B">
        <w:trPr>
          <w:trHeight w:val="699"/>
        </w:trPr>
        <w:tc>
          <w:tcPr>
            <w:tcW w:w="2122" w:type="dxa"/>
            <w:tcBorders>
              <w:top w:val="single" w:sz="12" w:space="0" w:color="auto"/>
              <w:left w:val="nil"/>
              <w:bottom w:val="single" w:sz="12" w:space="0" w:color="auto"/>
              <w:right w:val="nil"/>
            </w:tcBorders>
          </w:tcPr>
          <w:p w:rsidR="00EB31A5" w:rsidRPr="00EB31A5" w:rsidRDefault="00EB31A5" w:rsidP="0019680E">
            <w:pPr>
              <w:jc w:val="both"/>
              <w:rPr>
                <w:rFonts w:cs="Arial"/>
                <w:b/>
                <w:szCs w:val="24"/>
              </w:rPr>
            </w:pPr>
            <w:r w:rsidRPr="00EB31A5">
              <w:rPr>
                <w:rFonts w:cs="Arial"/>
                <w:b/>
                <w:szCs w:val="24"/>
              </w:rPr>
              <w:t>Procedimento</w:t>
            </w:r>
          </w:p>
        </w:tc>
        <w:tc>
          <w:tcPr>
            <w:tcW w:w="2273" w:type="dxa"/>
            <w:tcBorders>
              <w:top w:val="single" w:sz="12" w:space="0" w:color="auto"/>
              <w:left w:val="nil"/>
              <w:bottom w:val="single" w:sz="12" w:space="0" w:color="auto"/>
              <w:right w:val="nil"/>
            </w:tcBorders>
          </w:tcPr>
          <w:p w:rsidR="00EB31A5" w:rsidRPr="00EB31A5" w:rsidRDefault="00EB31A5" w:rsidP="0019680E">
            <w:pPr>
              <w:jc w:val="both"/>
              <w:rPr>
                <w:rFonts w:cs="Arial"/>
                <w:b/>
                <w:szCs w:val="24"/>
              </w:rPr>
            </w:pPr>
            <w:r w:rsidRPr="00EB31A5">
              <w:rPr>
                <w:rFonts w:cs="Arial"/>
                <w:b/>
                <w:szCs w:val="24"/>
              </w:rPr>
              <w:t>Grau de Severidade</w:t>
            </w:r>
          </w:p>
        </w:tc>
        <w:tc>
          <w:tcPr>
            <w:tcW w:w="4099" w:type="dxa"/>
            <w:tcBorders>
              <w:top w:val="single" w:sz="12" w:space="0" w:color="auto"/>
              <w:left w:val="nil"/>
              <w:bottom w:val="single" w:sz="12" w:space="0" w:color="auto"/>
              <w:right w:val="nil"/>
            </w:tcBorders>
          </w:tcPr>
          <w:p w:rsidR="00EB31A5" w:rsidRPr="00EB31A5" w:rsidRDefault="00EB31A5" w:rsidP="0019680E">
            <w:pPr>
              <w:jc w:val="both"/>
              <w:rPr>
                <w:rFonts w:cs="Arial"/>
                <w:b/>
                <w:szCs w:val="24"/>
              </w:rPr>
            </w:pPr>
            <w:r w:rsidRPr="00EB31A5">
              <w:rPr>
                <w:rFonts w:cs="Arial"/>
                <w:b/>
                <w:szCs w:val="24"/>
              </w:rPr>
              <w:t>Critérios</w:t>
            </w:r>
          </w:p>
        </w:tc>
      </w:tr>
      <w:tr w:rsidR="00EB31A5" w:rsidRPr="00EB31A5" w:rsidTr="00235A0B">
        <w:tc>
          <w:tcPr>
            <w:tcW w:w="2122" w:type="dxa"/>
            <w:tcBorders>
              <w:top w:val="single" w:sz="12" w:space="0" w:color="auto"/>
              <w:left w:val="nil"/>
              <w:bottom w:val="nil"/>
              <w:right w:val="nil"/>
            </w:tcBorders>
            <w:shd w:val="clear" w:color="auto" w:fill="D0CECE" w:themeFill="background2" w:themeFillShade="E6"/>
          </w:tcPr>
          <w:p w:rsidR="00EB31A5" w:rsidRPr="00EB31A5" w:rsidRDefault="00EB31A5" w:rsidP="0019680E">
            <w:pPr>
              <w:jc w:val="both"/>
              <w:rPr>
                <w:rFonts w:cs="Arial"/>
                <w:szCs w:val="24"/>
              </w:rPr>
            </w:pPr>
            <w:proofErr w:type="spellStart"/>
            <w:r w:rsidRPr="00EB31A5">
              <w:rPr>
                <w:rFonts w:cs="Arial"/>
                <w:szCs w:val="24"/>
              </w:rPr>
              <w:t>Gavagem</w:t>
            </w:r>
            <w:proofErr w:type="spellEnd"/>
          </w:p>
        </w:tc>
        <w:tc>
          <w:tcPr>
            <w:tcW w:w="2273" w:type="dxa"/>
            <w:tcBorders>
              <w:top w:val="single" w:sz="12" w:space="0" w:color="auto"/>
              <w:left w:val="nil"/>
              <w:bottom w:val="nil"/>
              <w:right w:val="nil"/>
            </w:tcBorders>
            <w:shd w:val="clear" w:color="auto" w:fill="D0CECE" w:themeFill="background2" w:themeFillShade="E6"/>
          </w:tcPr>
          <w:p w:rsidR="00EB31A5" w:rsidRPr="00EB31A5" w:rsidRDefault="00EB31A5" w:rsidP="0019680E">
            <w:pPr>
              <w:jc w:val="both"/>
              <w:rPr>
                <w:rFonts w:cs="Arial"/>
                <w:szCs w:val="24"/>
              </w:rPr>
            </w:pPr>
            <w:r w:rsidRPr="00EB31A5">
              <w:rPr>
                <w:rFonts w:cs="Arial"/>
                <w:szCs w:val="24"/>
              </w:rPr>
              <w:t>Moderado</w:t>
            </w:r>
          </w:p>
        </w:tc>
        <w:tc>
          <w:tcPr>
            <w:tcW w:w="4099" w:type="dxa"/>
            <w:tcBorders>
              <w:top w:val="single" w:sz="12" w:space="0" w:color="auto"/>
              <w:left w:val="nil"/>
              <w:bottom w:val="nil"/>
              <w:right w:val="nil"/>
            </w:tcBorders>
            <w:shd w:val="clear" w:color="auto" w:fill="D0CECE" w:themeFill="background2" w:themeFillShade="E6"/>
          </w:tcPr>
          <w:p w:rsidR="00EB31A5" w:rsidRPr="00EB31A5" w:rsidRDefault="00EB31A5" w:rsidP="0019680E">
            <w:pPr>
              <w:pStyle w:val="Default"/>
              <w:spacing w:before="120" w:line="360" w:lineRule="auto"/>
              <w:jc w:val="both"/>
            </w:pPr>
            <w:r w:rsidRPr="00EB31A5">
              <w:t></w:t>
            </w:r>
            <w:r w:rsidRPr="00EB31A5">
              <w:t>As substâncias apresentarão impactos leves no animal.</w:t>
            </w:r>
          </w:p>
          <w:p w:rsidR="00EB31A5" w:rsidRPr="00EB31A5" w:rsidRDefault="00EB31A5" w:rsidP="0019680E">
            <w:pPr>
              <w:pStyle w:val="Default"/>
              <w:spacing w:before="120" w:line="360" w:lineRule="auto"/>
              <w:jc w:val="both"/>
            </w:pPr>
            <w:r w:rsidRPr="00EB31A5">
              <w:t></w:t>
            </w:r>
            <w:r w:rsidRPr="00EB31A5">
              <w:t>Os volumes respeitarão os limites apropriados para o tamanho e a espécie do animal.</w:t>
            </w:r>
          </w:p>
          <w:p w:rsidR="00EB31A5" w:rsidRPr="00EB31A5" w:rsidRDefault="00EB31A5" w:rsidP="0019680E">
            <w:pPr>
              <w:pStyle w:val="Default"/>
              <w:spacing w:before="120" w:line="360" w:lineRule="auto"/>
              <w:jc w:val="both"/>
            </w:pPr>
            <w:r w:rsidRPr="00EB31A5">
              <w:lastRenderedPageBreak/>
              <w:t></w:t>
            </w:r>
            <w:r w:rsidRPr="00EB31A5">
              <w:t>Procedimento será realizado diariamente, durante 90 dias em machos adultos e 77 dias em fêmeas adultas do segmento I.</w:t>
            </w:r>
          </w:p>
          <w:p w:rsidR="00EB31A5" w:rsidRPr="00EB31A5" w:rsidRDefault="00EB31A5" w:rsidP="0019680E">
            <w:pPr>
              <w:pStyle w:val="Default"/>
              <w:spacing w:before="120" w:line="360" w:lineRule="auto"/>
              <w:jc w:val="both"/>
            </w:pPr>
            <w:r w:rsidRPr="00EB31A5">
              <w:t></w:t>
            </w:r>
            <w:r w:rsidRPr="00EB31A5">
              <w:t>Causará desconforto e possivelmente dor de intensidade leve, por curto período de tempo.</w:t>
            </w:r>
          </w:p>
        </w:tc>
      </w:tr>
      <w:tr w:rsidR="00EB31A5" w:rsidRPr="00EB31A5" w:rsidTr="00235A0B">
        <w:tc>
          <w:tcPr>
            <w:tcW w:w="2122" w:type="dxa"/>
            <w:tcBorders>
              <w:top w:val="nil"/>
              <w:left w:val="nil"/>
              <w:bottom w:val="nil"/>
              <w:right w:val="nil"/>
            </w:tcBorders>
          </w:tcPr>
          <w:p w:rsidR="00EB31A5" w:rsidRPr="00EB31A5" w:rsidRDefault="00EB31A5" w:rsidP="0019680E">
            <w:pPr>
              <w:jc w:val="both"/>
              <w:rPr>
                <w:rFonts w:cs="Arial"/>
                <w:szCs w:val="24"/>
              </w:rPr>
            </w:pPr>
            <w:r w:rsidRPr="00EB31A5">
              <w:rPr>
                <w:rFonts w:cs="Arial"/>
                <w:szCs w:val="24"/>
              </w:rPr>
              <w:lastRenderedPageBreak/>
              <w:t>Pesagem</w:t>
            </w:r>
          </w:p>
        </w:tc>
        <w:tc>
          <w:tcPr>
            <w:tcW w:w="2273" w:type="dxa"/>
            <w:tcBorders>
              <w:top w:val="nil"/>
              <w:left w:val="nil"/>
              <w:bottom w:val="nil"/>
              <w:right w:val="nil"/>
            </w:tcBorders>
          </w:tcPr>
          <w:p w:rsidR="00EB31A5" w:rsidRPr="00EB31A5" w:rsidRDefault="00EB31A5" w:rsidP="0019680E">
            <w:pPr>
              <w:jc w:val="both"/>
              <w:rPr>
                <w:rFonts w:cs="Arial"/>
                <w:szCs w:val="24"/>
              </w:rPr>
            </w:pPr>
            <w:r w:rsidRPr="00EB31A5">
              <w:rPr>
                <w:rFonts w:cs="Arial"/>
                <w:szCs w:val="24"/>
              </w:rPr>
              <w:t>Leve</w:t>
            </w:r>
          </w:p>
        </w:tc>
        <w:tc>
          <w:tcPr>
            <w:tcW w:w="4099" w:type="dxa"/>
            <w:tcBorders>
              <w:top w:val="nil"/>
              <w:left w:val="nil"/>
              <w:bottom w:val="nil"/>
              <w:right w:val="nil"/>
            </w:tcBorders>
          </w:tcPr>
          <w:p w:rsidR="00EB31A5" w:rsidRPr="00EB31A5" w:rsidRDefault="00EB31A5" w:rsidP="0019680E">
            <w:pPr>
              <w:pStyle w:val="Default"/>
              <w:spacing w:before="120" w:line="360" w:lineRule="auto"/>
              <w:jc w:val="both"/>
            </w:pPr>
            <w:r w:rsidRPr="00EB31A5">
              <w:t></w:t>
            </w:r>
            <w:r w:rsidRPr="00EB31A5">
              <w:t>Manipulação diária causando desconforto leve.</w:t>
            </w:r>
          </w:p>
        </w:tc>
      </w:tr>
      <w:tr w:rsidR="00EB31A5" w:rsidRPr="00EB31A5" w:rsidTr="00235A0B">
        <w:tc>
          <w:tcPr>
            <w:tcW w:w="2122" w:type="dxa"/>
            <w:tcBorders>
              <w:top w:val="nil"/>
              <w:left w:val="nil"/>
              <w:bottom w:val="nil"/>
              <w:right w:val="nil"/>
            </w:tcBorders>
            <w:shd w:val="clear" w:color="auto" w:fill="D0CECE" w:themeFill="background2" w:themeFillShade="E6"/>
          </w:tcPr>
          <w:p w:rsidR="00EB31A5" w:rsidRPr="00EB31A5" w:rsidRDefault="00EB31A5" w:rsidP="0019680E">
            <w:pPr>
              <w:jc w:val="both"/>
              <w:rPr>
                <w:rFonts w:cs="Arial"/>
                <w:szCs w:val="24"/>
              </w:rPr>
            </w:pPr>
            <w:r w:rsidRPr="00EB31A5">
              <w:rPr>
                <w:rFonts w:cs="Arial"/>
                <w:szCs w:val="24"/>
              </w:rPr>
              <w:t>Alojamento</w:t>
            </w:r>
          </w:p>
        </w:tc>
        <w:tc>
          <w:tcPr>
            <w:tcW w:w="2273" w:type="dxa"/>
            <w:tcBorders>
              <w:top w:val="nil"/>
              <w:left w:val="nil"/>
              <w:bottom w:val="nil"/>
              <w:right w:val="nil"/>
            </w:tcBorders>
            <w:shd w:val="clear" w:color="auto" w:fill="D0CECE" w:themeFill="background2" w:themeFillShade="E6"/>
          </w:tcPr>
          <w:p w:rsidR="00EB31A5" w:rsidRPr="00EB31A5" w:rsidRDefault="00EB31A5" w:rsidP="0019680E">
            <w:pPr>
              <w:jc w:val="both"/>
              <w:rPr>
                <w:rFonts w:cs="Arial"/>
                <w:szCs w:val="24"/>
              </w:rPr>
            </w:pPr>
            <w:r w:rsidRPr="00EB31A5">
              <w:rPr>
                <w:rFonts w:cs="Arial"/>
                <w:szCs w:val="24"/>
              </w:rPr>
              <w:t>Leve</w:t>
            </w:r>
          </w:p>
        </w:tc>
        <w:tc>
          <w:tcPr>
            <w:tcW w:w="4099" w:type="dxa"/>
            <w:tcBorders>
              <w:top w:val="nil"/>
              <w:left w:val="nil"/>
              <w:bottom w:val="nil"/>
              <w:right w:val="nil"/>
            </w:tcBorders>
            <w:shd w:val="clear" w:color="auto" w:fill="D0CECE" w:themeFill="background2" w:themeFillShade="E6"/>
          </w:tcPr>
          <w:p w:rsidR="00EB31A5" w:rsidRPr="00EB31A5" w:rsidRDefault="00EB31A5" w:rsidP="0019680E">
            <w:pPr>
              <w:pStyle w:val="Default"/>
              <w:spacing w:before="120" w:line="360" w:lineRule="auto"/>
              <w:jc w:val="both"/>
            </w:pPr>
            <w:r w:rsidRPr="00EB31A5">
              <w:t></w:t>
            </w:r>
            <w:r w:rsidRPr="00EB31A5">
              <w:t>Os animais terão alojamento solitário por longo período do experimento, envolvendo privação social.</w:t>
            </w:r>
          </w:p>
        </w:tc>
      </w:tr>
      <w:tr w:rsidR="00EB31A5" w:rsidRPr="00EB31A5" w:rsidTr="00235A0B">
        <w:tc>
          <w:tcPr>
            <w:tcW w:w="2122" w:type="dxa"/>
            <w:tcBorders>
              <w:top w:val="nil"/>
              <w:left w:val="nil"/>
              <w:bottom w:val="nil"/>
              <w:right w:val="nil"/>
            </w:tcBorders>
          </w:tcPr>
          <w:p w:rsidR="00EB31A5" w:rsidRPr="00EB31A5" w:rsidRDefault="00EB31A5" w:rsidP="0019680E">
            <w:pPr>
              <w:jc w:val="both"/>
              <w:rPr>
                <w:rFonts w:cs="Arial"/>
                <w:szCs w:val="24"/>
              </w:rPr>
            </w:pPr>
            <w:r w:rsidRPr="00EB31A5">
              <w:rPr>
                <w:rFonts w:cs="Arial"/>
                <w:szCs w:val="24"/>
              </w:rPr>
              <w:t>Acasalamento</w:t>
            </w:r>
          </w:p>
        </w:tc>
        <w:tc>
          <w:tcPr>
            <w:tcW w:w="2273" w:type="dxa"/>
            <w:tcBorders>
              <w:top w:val="nil"/>
              <w:left w:val="nil"/>
              <w:bottom w:val="nil"/>
              <w:right w:val="nil"/>
            </w:tcBorders>
          </w:tcPr>
          <w:p w:rsidR="00EB31A5" w:rsidRPr="00EB31A5" w:rsidRDefault="00EB31A5" w:rsidP="0019680E">
            <w:pPr>
              <w:jc w:val="both"/>
              <w:rPr>
                <w:rFonts w:cs="Arial"/>
                <w:szCs w:val="24"/>
              </w:rPr>
            </w:pPr>
            <w:r w:rsidRPr="00EB31A5">
              <w:rPr>
                <w:rFonts w:cs="Arial"/>
                <w:szCs w:val="24"/>
              </w:rPr>
              <w:t>Leve</w:t>
            </w:r>
          </w:p>
        </w:tc>
        <w:tc>
          <w:tcPr>
            <w:tcW w:w="4099" w:type="dxa"/>
            <w:tcBorders>
              <w:top w:val="nil"/>
              <w:left w:val="nil"/>
              <w:bottom w:val="nil"/>
              <w:right w:val="nil"/>
            </w:tcBorders>
          </w:tcPr>
          <w:p w:rsidR="00EB31A5" w:rsidRPr="00EB31A5" w:rsidRDefault="00EB31A5" w:rsidP="0019680E">
            <w:pPr>
              <w:pStyle w:val="Default"/>
              <w:spacing w:before="120" w:line="360" w:lineRule="auto"/>
              <w:jc w:val="both"/>
            </w:pPr>
            <w:r w:rsidRPr="00EB31A5">
              <w:t></w:t>
            </w:r>
            <w:r w:rsidRPr="00EB31A5">
              <w:t>Manipulação de comportamento.</w:t>
            </w:r>
          </w:p>
        </w:tc>
      </w:tr>
      <w:tr w:rsidR="00EB31A5" w:rsidRPr="00EB31A5" w:rsidTr="00235A0B">
        <w:tc>
          <w:tcPr>
            <w:tcW w:w="2122" w:type="dxa"/>
            <w:tcBorders>
              <w:top w:val="nil"/>
              <w:left w:val="nil"/>
              <w:bottom w:val="nil"/>
              <w:right w:val="nil"/>
            </w:tcBorders>
            <w:shd w:val="clear" w:color="auto" w:fill="D0CECE" w:themeFill="background2" w:themeFillShade="E6"/>
          </w:tcPr>
          <w:p w:rsidR="00EB31A5" w:rsidRPr="00EB31A5" w:rsidRDefault="00EB31A5" w:rsidP="0019680E">
            <w:pPr>
              <w:jc w:val="both"/>
              <w:rPr>
                <w:rFonts w:cs="Arial"/>
                <w:szCs w:val="24"/>
              </w:rPr>
            </w:pPr>
            <w:r w:rsidRPr="00EB31A5">
              <w:rPr>
                <w:rFonts w:cs="Arial"/>
                <w:szCs w:val="24"/>
              </w:rPr>
              <w:t>Esfregaço Vaginal</w:t>
            </w:r>
          </w:p>
        </w:tc>
        <w:tc>
          <w:tcPr>
            <w:tcW w:w="2273" w:type="dxa"/>
            <w:tcBorders>
              <w:top w:val="nil"/>
              <w:left w:val="nil"/>
              <w:bottom w:val="nil"/>
              <w:right w:val="nil"/>
            </w:tcBorders>
            <w:shd w:val="clear" w:color="auto" w:fill="D0CECE" w:themeFill="background2" w:themeFillShade="E6"/>
          </w:tcPr>
          <w:p w:rsidR="00EB31A5" w:rsidRPr="00EB31A5" w:rsidRDefault="00EB31A5" w:rsidP="0019680E">
            <w:pPr>
              <w:jc w:val="both"/>
              <w:rPr>
                <w:rFonts w:cs="Arial"/>
                <w:szCs w:val="24"/>
              </w:rPr>
            </w:pPr>
            <w:r w:rsidRPr="00EB31A5">
              <w:rPr>
                <w:rFonts w:cs="Arial"/>
                <w:szCs w:val="24"/>
              </w:rPr>
              <w:t>Moderado</w:t>
            </w:r>
          </w:p>
        </w:tc>
        <w:tc>
          <w:tcPr>
            <w:tcW w:w="4099" w:type="dxa"/>
            <w:tcBorders>
              <w:top w:val="nil"/>
              <w:left w:val="nil"/>
              <w:bottom w:val="nil"/>
              <w:right w:val="nil"/>
            </w:tcBorders>
            <w:shd w:val="clear" w:color="auto" w:fill="D0CECE" w:themeFill="background2" w:themeFillShade="E6"/>
          </w:tcPr>
          <w:p w:rsidR="00EB31A5" w:rsidRPr="00EB31A5" w:rsidRDefault="00EB31A5" w:rsidP="0019680E">
            <w:pPr>
              <w:pStyle w:val="Default"/>
              <w:spacing w:before="120" w:line="360" w:lineRule="auto"/>
              <w:jc w:val="both"/>
            </w:pPr>
            <w:r w:rsidRPr="00EB31A5">
              <w:t></w:t>
            </w:r>
            <w:r w:rsidRPr="00EB31A5">
              <w:t xml:space="preserve">Contenção, desconforto moderado gerado diariamente até a constatação da </w:t>
            </w:r>
            <w:proofErr w:type="spellStart"/>
            <w:r w:rsidRPr="00EB31A5">
              <w:t>prenhez</w:t>
            </w:r>
            <w:proofErr w:type="spellEnd"/>
            <w:r w:rsidRPr="00EB31A5">
              <w:t>.</w:t>
            </w:r>
          </w:p>
        </w:tc>
      </w:tr>
      <w:tr w:rsidR="00EB31A5" w:rsidRPr="00EB31A5" w:rsidTr="00235A0B">
        <w:tc>
          <w:tcPr>
            <w:tcW w:w="2122" w:type="dxa"/>
            <w:tcBorders>
              <w:top w:val="nil"/>
              <w:left w:val="nil"/>
              <w:bottom w:val="nil"/>
              <w:right w:val="nil"/>
            </w:tcBorders>
          </w:tcPr>
          <w:p w:rsidR="00EB31A5" w:rsidRPr="00EB31A5" w:rsidRDefault="00EB31A5" w:rsidP="0019680E">
            <w:pPr>
              <w:jc w:val="both"/>
              <w:rPr>
                <w:rFonts w:cs="Arial"/>
                <w:szCs w:val="24"/>
              </w:rPr>
            </w:pPr>
            <w:r w:rsidRPr="00EB31A5">
              <w:rPr>
                <w:rFonts w:cs="Arial"/>
                <w:szCs w:val="24"/>
              </w:rPr>
              <w:t>Avaliação Comportamental</w:t>
            </w:r>
          </w:p>
        </w:tc>
        <w:tc>
          <w:tcPr>
            <w:tcW w:w="2273" w:type="dxa"/>
            <w:tcBorders>
              <w:top w:val="nil"/>
              <w:left w:val="nil"/>
              <w:bottom w:val="nil"/>
              <w:right w:val="nil"/>
            </w:tcBorders>
          </w:tcPr>
          <w:p w:rsidR="00EB31A5" w:rsidRPr="00EB31A5" w:rsidRDefault="00EB31A5" w:rsidP="0019680E">
            <w:pPr>
              <w:jc w:val="both"/>
              <w:rPr>
                <w:rFonts w:cs="Arial"/>
                <w:szCs w:val="24"/>
              </w:rPr>
            </w:pPr>
            <w:r w:rsidRPr="00EB31A5">
              <w:rPr>
                <w:rFonts w:cs="Arial"/>
                <w:szCs w:val="24"/>
              </w:rPr>
              <w:t>Leve</w:t>
            </w:r>
          </w:p>
        </w:tc>
        <w:tc>
          <w:tcPr>
            <w:tcW w:w="4099" w:type="dxa"/>
            <w:tcBorders>
              <w:top w:val="nil"/>
              <w:left w:val="nil"/>
              <w:bottom w:val="nil"/>
              <w:right w:val="nil"/>
            </w:tcBorders>
          </w:tcPr>
          <w:p w:rsidR="00EB31A5" w:rsidRPr="00EB31A5" w:rsidRDefault="00EB31A5" w:rsidP="0019680E">
            <w:pPr>
              <w:pStyle w:val="Default"/>
              <w:spacing w:before="120" w:line="360" w:lineRule="auto"/>
              <w:jc w:val="both"/>
            </w:pPr>
            <w:r w:rsidRPr="00EB31A5">
              <w:t></w:t>
            </w:r>
            <w:r w:rsidRPr="00EB31A5">
              <w:t>Os animais serão observados e sofrerão perturbação leve.</w:t>
            </w:r>
          </w:p>
        </w:tc>
      </w:tr>
      <w:tr w:rsidR="00EB31A5" w:rsidRPr="00EB31A5" w:rsidTr="00235A0B">
        <w:trPr>
          <w:trHeight w:val="874"/>
        </w:trPr>
        <w:tc>
          <w:tcPr>
            <w:tcW w:w="2122" w:type="dxa"/>
            <w:tcBorders>
              <w:top w:val="nil"/>
              <w:left w:val="nil"/>
              <w:bottom w:val="single" w:sz="12" w:space="0" w:color="auto"/>
              <w:right w:val="nil"/>
            </w:tcBorders>
            <w:shd w:val="clear" w:color="auto" w:fill="D0CECE" w:themeFill="background2" w:themeFillShade="E6"/>
          </w:tcPr>
          <w:p w:rsidR="00EB31A5" w:rsidRPr="00EB31A5" w:rsidRDefault="00EB31A5" w:rsidP="0019680E">
            <w:pPr>
              <w:jc w:val="both"/>
              <w:rPr>
                <w:rFonts w:cs="Arial"/>
                <w:szCs w:val="24"/>
              </w:rPr>
            </w:pPr>
            <w:r w:rsidRPr="00EB31A5">
              <w:rPr>
                <w:rFonts w:cs="Arial"/>
                <w:szCs w:val="24"/>
              </w:rPr>
              <w:t>Eutanásia</w:t>
            </w:r>
          </w:p>
        </w:tc>
        <w:tc>
          <w:tcPr>
            <w:tcW w:w="2273" w:type="dxa"/>
            <w:tcBorders>
              <w:top w:val="nil"/>
              <w:left w:val="nil"/>
              <w:bottom w:val="single" w:sz="12" w:space="0" w:color="auto"/>
              <w:right w:val="nil"/>
            </w:tcBorders>
            <w:shd w:val="clear" w:color="auto" w:fill="D0CECE" w:themeFill="background2" w:themeFillShade="E6"/>
          </w:tcPr>
          <w:p w:rsidR="00EB31A5" w:rsidRPr="00EB31A5" w:rsidRDefault="00EB31A5" w:rsidP="0019680E">
            <w:pPr>
              <w:jc w:val="both"/>
              <w:rPr>
                <w:rFonts w:cs="Arial"/>
                <w:szCs w:val="24"/>
              </w:rPr>
            </w:pPr>
            <w:r w:rsidRPr="00EB31A5">
              <w:rPr>
                <w:rFonts w:cs="Arial"/>
                <w:szCs w:val="24"/>
              </w:rPr>
              <w:t>Sem recuperação</w:t>
            </w:r>
          </w:p>
        </w:tc>
        <w:tc>
          <w:tcPr>
            <w:tcW w:w="4099" w:type="dxa"/>
            <w:tcBorders>
              <w:top w:val="nil"/>
              <w:left w:val="nil"/>
              <w:bottom w:val="single" w:sz="12" w:space="0" w:color="auto"/>
              <w:right w:val="nil"/>
            </w:tcBorders>
            <w:shd w:val="clear" w:color="auto" w:fill="D0CECE" w:themeFill="background2" w:themeFillShade="E6"/>
          </w:tcPr>
          <w:p w:rsidR="00EB31A5" w:rsidRPr="00EB31A5" w:rsidRDefault="00EB31A5" w:rsidP="0019680E">
            <w:pPr>
              <w:pStyle w:val="Default"/>
              <w:spacing w:before="120" w:line="360" w:lineRule="auto"/>
              <w:jc w:val="both"/>
            </w:pPr>
            <w:r w:rsidRPr="00EB31A5">
              <w:t></w:t>
            </w:r>
            <w:r w:rsidRPr="00EB31A5">
              <w:t>Procedimento de eutanásia humanizada, com todos os animais sob anestesia geral.</w:t>
            </w:r>
          </w:p>
        </w:tc>
      </w:tr>
    </w:tbl>
    <w:p w:rsidR="00EB31A5" w:rsidRDefault="00EB31A5" w:rsidP="0019680E">
      <w:pPr>
        <w:pStyle w:val="Ttulo1"/>
        <w:spacing w:before="120"/>
        <w:jc w:val="both"/>
      </w:pPr>
    </w:p>
    <w:p w:rsidR="00EB31A5" w:rsidRDefault="00EB31A5" w:rsidP="0019680E">
      <w:pPr>
        <w:spacing w:after="160"/>
        <w:jc w:val="both"/>
        <w:rPr>
          <w:rFonts w:eastAsiaTheme="majorEastAsia" w:cstheme="majorBidi"/>
          <w:b/>
          <w:szCs w:val="32"/>
        </w:rPr>
      </w:pPr>
      <w:r>
        <w:br w:type="page"/>
      </w:r>
    </w:p>
    <w:p w:rsidR="00EB31A5" w:rsidRPr="00EB31A5" w:rsidRDefault="006D37B1" w:rsidP="0019680E">
      <w:pPr>
        <w:pStyle w:val="Ttulo1"/>
        <w:spacing w:before="120"/>
        <w:jc w:val="both"/>
      </w:pPr>
      <w:bookmarkStart w:id="44" w:name="_Toc6842231"/>
      <w:r>
        <w:lastRenderedPageBreak/>
        <w:t xml:space="preserve">5 </w:t>
      </w:r>
      <w:r w:rsidR="00EB31A5" w:rsidRPr="00EB31A5">
        <w:t>DESCARTE DE RESÍDUOS QUÍMICOS E BIOLÓGICOS</w:t>
      </w:r>
      <w:bookmarkEnd w:id="44"/>
    </w:p>
    <w:p w:rsidR="00EB31A5" w:rsidRPr="00EB31A5" w:rsidRDefault="00EB31A5" w:rsidP="0019680E">
      <w:pPr>
        <w:jc w:val="both"/>
        <w:rPr>
          <w:rFonts w:cs="Arial"/>
          <w:szCs w:val="24"/>
        </w:rPr>
      </w:pPr>
      <w:r w:rsidRPr="00EB31A5">
        <w:rPr>
          <w:rFonts w:cs="Arial"/>
          <w:szCs w:val="24"/>
        </w:rPr>
        <w:tab/>
        <w:t>O descarte dos resíduos químicos gerados durante a execução dos ensaios seguirá o Plano de Gestão de Resíduos em Serviço de Saúde da UFRGS, de acordo com a RDC 306 de 2004.</w:t>
      </w:r>
    </w:p>
    <w:p w:rsidR="00EB31A5" w:rsidRPr="00EB31A5" w:rsidRDefault="00C43B92" w:rsidP="0019680E">
      <w:pPr>
        <w:jc w:val="both"/>
        <w:rPr>
          <w:rFonts w:cs="Arial"/>
          <w:szCs w:val="24"/>
        </w:rPr>
      </w:pPr>
      <w:r>
        <w:rPr>
          <w:rFonts w:cs="Arial"/>
          <w:szCs w:val="24"/>
        </w:rPr>
        <w:tab/>
      </w:r>
      <w:r w:rsidR="00EB31A5" w:rsidRPr="00EB31A5">
        <w:rPr>
          <w:rFonts w:cs="Arial"/>
          <w:szCs w:val="24"/>
        </w:rPr>
        <w:t>Após eutanásia dos animais e coleta de material específico para os ensaios de Toxicidade Crônica e Reprodutiva (Segmento I), a carcaça e demais resíduos biológicos oriundos desses processos, serão acondicionados em saco plástico branco, com indicação de risco biológico, e serão descartados conforme o Plano de Gestão de Resíduos em Serviço de Saúde da UFRGS, de acordo com a RDC 306 de 2004. O descarte dos cadáveres, carcaças e do lixo gerado pelo uso de animais também seguirá a Política Nacional de Resíduos Sólidos, Lei nº 12305 de 2 de agosto de 2010.</w:t>
      </w:r>
    </w:p>
    <w:bookmarkEnd w:id="43"/>
    <w:p w:rsidR="00EB31A5" w:rsidRPr="00EB31A5" w:rsidRDefault="00EB31A5" w:rsidP="0019680E">
      <w:pPr>
        <w:jc w:val="both"/>
        <w:rPr>
          <w:rFonts w:cs="Arial"/>
          <w:szCs w:val="24"/>
        </w:rPr>
      </w:pPr>
    </w:p>
    <w:p w:rsidR="00EB31A5" w:rsidRPr="00EB31A5" w:rsidRDefault="00EB31A5" w:rsidP="0019680E">
      <w:pPr>
        <w:pStyle w:val="Ttulo1"/>
        <w:spacing w:before="120"/>
        <w:jc w:val="both"/>
      </w:pPr>
      <w:bookmarkStart w:id="45" w:name="_Toc6842232"/>
      <w:r w:rsidRPr="00EB31A5">
        <w:t>6 CRONOGRAMA DE ATIVIDADES</w:t>
      </w:r>
      <w:bookmarkEnd w:id="45"/>
    </w:p>
    <w:p w:rsidR="00EB31A5" w:rsidRPr="00EB31A5" w:rsidRDefault="00EB31A5" w:rsidP="0019680E">
      <w:pPr>
        <w:jc w:val="both"/>
        <w:rPr>
          <w:rFonts w:cs="Arial"/>
          <w:szCs w:val="24"/>
        </w:rPr>
      </w:pPr>
    </w:p>
    <w:tbl>
      <w:tblPr>
        <w:tblW w:w="88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2"/>
        <w:gridCol w:w="1498"/>
        <w:gridCol w:w="12"/>
        <w:gridCol w:w="444"/>
        <w:gridCol w:w="492"/>
        <w:gridCol w:w="468"/>
        <w:gridCol w:w="468"/>
        <w:gridCol w:w="480"/>
        <w:gridCol w:w="456"/>
        <w:gridCol w:w="24"/>
        <w:gridCol w:w="516"/>
        <w:gridCol w:w="24"/>
        <w:gridCol w:w="468"/>
        <w:gridCol w:w="567"/>
        <w:gridCol w:w="420"/>
        <w:gridCol w:w="6"/>
        <w:gridCol w:w="546"/>
        <w:gridCol w:w="21"/>
        <w:gridCol w:w="510"/>
      </w:tblGrid>
      <w:tr w:rsidR="00EB31A5" w:rsidRPr="00EB31A5" w:rsidTr="00235A0B">
        <w:trPr>
          <w:trHeight w:val="699"/>
        </w:trPr>
        <w:tc>
          <w:tcPr>
            <w:tcW w:w="1412" w:type="dxa"/>
            <w:tcBorders>
              <w:top w:val="single" w:sz="12" w:space="0" w:color="auto"/>
              <w:left w:val="nil"/>
              <w:bottom w:val="single" w:sz="4" w:space="0" w:color="auto"/>
              <w:right w:val="nil"/>
            </w:tcBorders>
          </w:tcPr>
          <w:p w:rsidR="00EB31A5" w:rsidRPr="00EB31A5" w:rsidRDefault="00EB31A5" w:rsidP="0019680E">
            <w:pPr>
              <w:jc w:val="both"/>
              <w:rPr>
                <w:rFonts w:cs="Arial"/>
                <w:szCs w:val="24"/>
              </w:rPr>
            </w:pPr>
          </w:p>
        </w:tc>
        <w:tc>
          <w:tcPr>
            <w:tcW w:w="7420" w:type="dxa"/>
            <w:gridSpan w:val="18"/>
            <w:tcBorders>
              <w:top w:val="single" w:sz="12" w:space="0" w:color="auto"/>
              <w:left w:val="nil"/>
              <w:bottom w:val="single" w:sz="4" w:space="0" w:color="auto"/>
              <w:right w:val="nil"/>
            </w:tcBorders>
          </w:tcPr>
          <w:p w:rsidR="00EB31A5" w:rsidRPr="00EB31A5" w:rsidRDefault="00EB31A5" w:rsidP="0019680E">
            <w:pPr>
              <w:jc w:val="both"/>
              <w:rPr>
                <w:rFonts w:cs="Arial"/>
                <w:b/>
                <w:szCs w:val="24"/>
              </w:rPr>
            </w:pPr>
            <w:r w:rsidRPr="00EB31A5">
              <w:rPr>
                <w:rFonts w:cs="Arial"/>
                <w:b/>
                <w:szCs w:val="24"/>
              </w:rPr>
              <w:t>Período</w:t>
            </w:r>
          </w:p>
        </w:tc>
      </w:tr>
      <w:tr w:rsidR="00EB31A5" w:rsidRPr="00EB31A5" w:rsidTr="00235A0B">
        <w:trPr>
          <w:trHeight w:val="321"/>
        </w:trPr>
        <w:tc>
          <w:tcPr>
            <w:tcW w:w="1412" w:type="dxa"/>
            <w:vMerge w:val="restart"/>
            <w:tcBorders>
              <w:left w:val="nil"/>
              <w:right w:val="single" w:sz="4" w:space="0" w:color="auto"/>
            </w:tcBorders>
          </w:tcPr>
          <w:p w:rsidR="00EB31A5" w:rsidRPr="00EB31A5" w:rsidRDefault="00EB31A5" w:rsidP="0019680E">
            <w:pPr>
              <w:jc w:val="both"/>
              <w:rPr>
                <w:rFonts w:cs="Arial"/>
                <w:b/>
                <w:szCs w:val="24"/>
              </w:rPr>
            </w:pPr>
            <w:r w:rsidRPr="00EB31A5">
              <w:rPr>
                <w:rFonts w:cs="Arial"/>
                <w:b/>
                <w:szCs w:val="24"/>
              </w:rPr>
              <w:t>Etapa</w:t>
            </w:r>
          </w:p>
        </w:tc>
        <w:tc>
          <w:tcPr>
            <w:tcW w:w="1510" w:type="dxa"/>
            <w:gridSpan w:val="2"/>
            <w:tcBorders>
              <w:top w:val="single" w:sz="4" w:space="0" w:color="auto"/>
              <w:left w:val="single" w:sz="4" w:space="0" w:color="auto"/>
              <w:bottom w:val="single" w:sz="4" w:space="0" w:color="auto"/>
              <w:right w:val="nil"/>
            </w:tcBorders>
          </w:tcPr>
          <w:p w:rsidR="00EB31A5" w:rsidRPr="00EB31A5" w:rsidRDefault="00EB31A5" w:rsidP="0019680E">
            <w:pPr>
              <w:jc w:val="both"/>
              <w:rPr>
                <w:rFonts w:cs="Arial"/>
                <w:szCs w:val="24"/>
              </w:rPr>
            </w:pPr>
            <w:r w:rsidRPr="00EB31A5">
              <w:rPr>
                <w:rFonts w:cs="Arial"/>
                <w:szCs w:val="24"/>
              </w:rPr>
              <w:t>Ano</w:t>
            </w:r>
          </w:p>
        </w:tc>
        <w:tc>
          <w:tcPr>
            <w:tcW w:w="1872" w:type="dxa"/>
            <w:gridSpan w:val="4"/>
            <w:tcBorders>
              <w:top w:val="single" w:sz="4" w:space="0" w:color="auto"/>
              <w:left w:val="nil"/>
              <w:bottom w:val="single" w:sz="4" w:space="0" w:color="auto"/>
              <w:right w:val="nil"/>
            </w:tcBorders>
          </w:tcPr>
          <w:p w:rsidR="00EB31A5" w:rsidRPr="00EB31A5" w:rsidRDefault="00EB31A5" w:rsidP="0019680E">
            <w:pPr>
              <w:jc w:val="both"/>
              <w:rPr>
                <w:rFonts w:cs="Arial"/>
                <w:szCs w:val="24"/>
              </w:rPr>
            </w:pPr>
            <w:r w:rsidRPr="00EB31A5">
              <w:rPr>
                <w:rFonts w:cs="Arial"/>
                <w:szCs w:val="24"/>
              </w:rPr>
              <w:t>2019</w:t>
            </w:r>
          </w:p>
        </w:tc>
        <w:tc>
          <w:tcPr>
            <w:tcW w:w="1968" w:type="dxa"/>
            <w:gridSpan w:val="6"/>
            <w:tcBorders>
              <w:top w:val="single" w:sz="4" w:space="0" w:color="auto"/>
              <w:left w:val="nil"/>
              <w:bottom w:val="single" w:sz="4" w:space="0" w:color="auto"/>
              <w:right w:val="nil"/>
            </w:tcBorders>
          </w:tcPr>
          <w:p w:rsidR="00EB31A5" w:rsidRPr="00EB31A5" w:rsidRDefault="00EB31A5" w:rsidP="0019680E">
            <w:pPr>
              <w:jc w:val="both"/>
              <w:rPr>
                <w:rFonts w:cs="Arial"/>
                <w:szCs w:val="24"/>
              </w:rPr>
            </w:pPr>
            <w:r w:rsidRPr="00EB31A5">
              <w:rPr>
                <w:rFonts w:cs="Arial"/>
                <w:szCs w:val="24"/>
              </w:rPr>
              <w:t>2020</w:t>
            </w:r>
          </w:p>
        </w:tc>
        <w:tc>
          <w:tcPr>
            <w:tcW w:w="2070" w:type="dxa"/>
            <w:gridSpan w:val="6"/>
            <w:tcBorders>
              <w:top w:val="single" w:sz="4" w:space="0" w:color="auto"/>
              <w:left w:val="nil"/>
              <w:bottom w:val="single" w:sz="4" w:space="0" w:color="auto"/>
              <w:right w:val="nil"/>
            </w:tcBorders>
          </w:tcPr>
          <w:p w:rsidR="00EB31A5" w:rsidRPr="00EB31A5" w:rsidRDefault="00EB31A5" w:rsidP="0019680E">
            <w:pPr>
              <w:jc w:val="both"/>
              <w:rPr>
                <w:rFonts w:cs="Arial"/>
                <w:szCs w:val="24"/>
              </w:rPr>
            </w:pPr>
            <w:r w:rsidRPr="00EB31A5">
              <w:rPr>
                <w:rFonts w:cs="Arial"/>
                <w:szCs w:val="24"/>
              </w:rPr>
              <w:t>2021</w:t>
            </w:r>
          </w:p>
        </w:tc>
      </w:tr>
      <w:tr w:rsidR="00EB31A5" w:rsidRPr="00EB31A5" w:rsidTr="00235A0B">
        <w:trPr>
          <w:trHeight w:val="215"/>
        </w:trPr>
        <w:tc>
          <w:tcPr>
            <w:tcW w:w="1412" w:type="dxa"/>
            <w:vMerge/>
            <w:tcBorders>
              <w:left w:val="nil"/>
              <w:bottom w:val="single" w:sz="12" w:space="0" w:color="auto"/>
            </w:tcBorders>
          </w:tcPr>
          <w:p w:rsidR="00EB31A5" w:rsidRPr="00EB31A5" w:rsidRDefault="00EB31A5" w:rsidP="0019680E">
            <w:pPr>
              <w:jc w:val="both"/>
              <w:rPr>
                <w:rFonts w:cs="Arial"/>
                <w:szCs w:val="24"/>
              </w:rPr>
            </w:pPr>
          </w:p>
        </w:tc>
        <w:tc>
          <w:tcPr>
            <w:tcW w:w="1510" w:type="dxa"/>
            <w:gridSpan w:val="2"/>
            <w:tcBorders>
              <w:top w:val="single" w:sz="4" w:space="0" w:color="auto"/>
              <w:bottom w:val="single" w:sz="12" w:space="0" w:color="auto"/>
              <w:right w:val="single" w:sz="4" w:space="0" w:color="auto"/>
            </w:tcBorders>
          </w:tcPr>
          <w:p w:rsidR="00EB31A5" w:rsidRPr="00EB31A5" w:rsidRDefault="00EB31A5" w:rsidP="0019680E">
            <w:pPr>
              <w:jc w:val="both"/>
              <w:rPr>
                <w:rFonts w:cs="Arial"/>
                <w:szCs w:val="24"/>
              </w:rPr>
            </w:pPr>
            <w:r w:rsidRPr="00EB31A5">
              <w:rPr>
                <w:rFonts w:cs="Arial"/>
                <w:szCs w:val="24"/>
              </w:rPr>
              <w:t>Trimestre</w:t>
            </w:r>
          </w:p>
        </w:tc>
        <w:tc>
          <w:tcPr>
            <w:tcW w:w="444" w:type="dxa"/>
            <w:tcBorders>
              <w:top w:val="single" w:sz="4" w:space="0" w:color="auto"/>
              <w:left w:val="single" w:sz="4" w:space="0" w:color="auto"/>
              <w:bottom w:val="single" w:sz="12" w:space="0" w:color="auto"/>
              <w:right w:val="nil"/>
            </w:tcBorders>
          </w:tcPr>
          <w:p w:rsidR="00EB31A5" w:rsidRPr="00EB31A5" w:rsidRDefault="00EB31A5" w:rsidP="0019680E">
            <w:pPr>
              <w:jc w:val="both"/>
              <w:rPr>
                <w:rFonts w:cs="Arial"/>
                <w:szCs w:val="24"/>
              </w:rPr>
            </w:pPr>
            <w:r w:rsidRPr="00EB31A5">
              <w:rPr>
                <w:rFonts w:cs="Arial"/>
                <w:szCs w:val="24"/>
              </w:rPr>
              <w:t>1º</w:t>
            </w:r>
          </w:p>
        </w:tc>
        <w:tc>
          <w:tcPr>
            <w:tcW w:w="492" w:type="dxa"/>
            <w:tcBorders>
              <w:top w:val="single" w:sz="4" w:space="0" w:color="auto"/>
              <w:left w:val="nil"/>
              <w:bottom w:val="single" w:sz="12" w:space="0" w:color="auto"/>
              <w:right w:val="nil"/>
            </w:tcBorders>
          </w:tcPr>
          <w:p w:rsidR="00EB31A5" w:rsidRPr="00EB31A5" w:rsidRDefault="00EB31A5" w:rsidP="0019680E">
            <w:pPr>
              <w:jc w:val="both"/>
              <w:rPr>
                <w:rFonts w:cs="Arial"/>
                <w:szCs w:val="24"/>
              </w:rPr>
            </w:pPr>
            <w:r w:rsidRPr="00EB31A5">
              <w:rPr>
                <w:rFonts w:cs="Arial"/>
                <w:szCs w:val="24"/>
              </w:rPr>
              <w:t>2º</w:t>
            </w:r>
          </w:p>
        </w:tc>
        <w:tc>
          <w:tcPr>
            <w:tcW w:w="468" w:type="dxa"/>
            <w:tcBorders>
              <w:top w:val="single" w:sz="4" w:space="0" w:color="auto"/>
              <w:left w:val="nil"/>
              <w:bottom w:val="single" w:sz="12" w:space="0" w:color="auto"/>
              <w:right w:val="nil"/>
            </w:tcBorders>
          </w:tcPr>
          <w:p w:rsidR="00EB31A5" w:rsidRPr="00EB31A5" w:rsidRDefault="00EB31A5" w:rsidP="0019680E">
            <w:pPr>
              <w:jc w:val="both"/>
              <w:rPr>
                <w:rFonts w:cs="Arial"/>
                <w:szCs w:val="24"/>
              </w:rPr>
            </w:pPr>
            <w:r w:rsidRPr="00EB31A5">
              <w:rPr>
                <w:rFonts w:cs="Arial"/>
                <w:szCs w:val="24"/>
              </w:rPr>
              <w:t>3º</w:t>
            </w:r>
          </w:p>
        </w:tc>
        <w:tc>
          <w:tcPr>
            <w:tcW w:w="468" w:type="dxa"/>
            <w:tcBorders>
              <w:top w:val="single" w:sz="4" w:space="0" w:color="auto"/>
              <w:left w:val="nil"/>
              <w:bottom w:val="single" w:sz="12" w:space="0" w:color="auto"/>
              <w:right w:val="single" w:sz="4" w:space="0" w:color="auto"/>
            </w:tcBorders>
          </w:tcPr>
          <w:p w:rsidR="00EB31A5" w:rsidRPr="00EB31A5" w:rsidRDefault="00EB31A5" w:rsidP="0019680E">
            <w:pPr>
              <w:jc w:val="both"/>
              <w:rPr>
                <w:rFonts w:cs="Arial"/>
                <w:szCs w:val="24"/>
              </w:rPr>
            </w:pPr>
            <w:r w:rsidRPr="00EB31A5">
              <w:rPr>
                <w:rFonts w:cs="Arial"/>
                <w:szCs w:val="24"/>
              </w:rPr>
              <w:t>4º</w:t>
            </w:r>
          </w:p>
        </w:tc>
        <w:tc>
          <w:tcPr>
            <w:tcW w:w="480" w:type="dxa"/>
            <w:tcBorders>
              <w:top w:val="single" w:sz="4" w:space="0" w:color="auto"/>
              <w:left w:val="single" w:sz="4" w:space="0" w:color="auto"/>
              <w:bottom w:val="single" w:sz="12" w:space="0" w:color="auto"/>
              <w:right w:val="nil"/>
            </w:tcBorders>
          </w:tcPr>
          <w:p w:rsidR="00EB31A5" w:rsidRPr="00EB31A5" w:rsidRDefault="00EB31A5" w:rsidP="0019680E">
            <w:pPr>
              <w:jc w:val="both"/>
              <w:rPr>
                <w:rFonts w:cs="Arial"/>
                <w:szCs w:val="24"/>
              </w:rPr>
            </w:pPr>
            <w:r w:rsidRPr="00EB31A5">
              <w:rPr>
                <w:rFonts w:cs="Arial"/>
                <w:szCs w:val="24"/>
              </w:rPr>
              <w:t>1º</w:t>
            </w:r>
          </w:p>
        </w:tc>
        <w:tc>
          <w:tcPr>
            <w:tcW w:w="480" w:type="dxa"/>
            <w:gridSpan w:val="2"/>
            <w:tcBorders>
              <w:top w:val="single" w:sz="4" w:space="0" w:color="auto"/>
              <w:left w:val="nil"/>
              <w:bottom w:val="single" w:sz="12" w:space="0" w:color="auto"/>
              <w:right w:val="nil"/>
            </w:tcBorders>
          </w:tcPr>
          <w:p w:rsidR="00EB31A5" w:rsidRPr="00EB31A5" w:rsidRDefault="00EB31A5" w:rsidP="0019680E">
            <w:pPr>
              <w:jc w:val="both"/>
              <w:rPr>
                <w:rFonts w:cs="Arial"/>
                <w:szCs w:val="24"/>
              </w:rPr>
            </w:pPr>
            <w:r w:rsidRPr="00EB31A5">
              <w:rPr>
                <w:rFonts w:cs="Arial"/>
                <w:szCs w:val="24"/>
              </w:rPr>
              <w:t>2º</w:t>
            </w:r>
          </w:p>
        </w:tc>
        <w:tc>
          <w:tcPr>
            <w:tcW w:w="540" w:type="dxa"/>
            <w:gridSpan w:val="2"/>
            <w:tcBorders>
              <w:top w:val="single" w:sz="4" w:space="0" w:color="auto"/>
              <w:left w:val="nil"/>
              <w:bottom w:val="single" w:sz="12" w:space="0" w:color="auto"/>
              <w:right w:val="nil"/>
            </w:tcBorders>
          </w:tcPr>
          <w:p w:rsidR="00EB31A5" w:rsidRPr="00EB31A5" w:rsidRDefault="00EB31A5" w:rsidP="0019680E">
            <w:pPr>
              <w:jc w:val="both"/>
              <w:rPr>
                <w:rFonts w:cs="Arial"/>
                <w:szCs w:val="24"/>
              </w:rPr>
            </w:pPr>
            <w:r w:rsidRPr="00EB31A5">
              <w:rPr>
                <w:rFonts w:cs="Arial"/>
                <w:szCs w:val="24"/>
              </w:rPr>
              <w:t>3º</w:t>
            </w:r>
          </w:p>
        </w:tc>
        <w:tc>
          <w:tcPr>
            <w:tcW w:w="468" w:type="dxa"/>
            <w:tcBorders>
              <w:top w:val="single" w:sz="4" w:space="0" w:color="auto"/>
              <w:left w:val="nil"/>
              <w:bottom w:val="single" w:sz="12" w:space="0" w:color="auto"/>
              <w:right w:val="single" w:sz="4" w:space="0" w:color="auto"/>
            </w:tcBorders>
          </w:tcPr>
          <w:p w:rsidR="00EB31A5" w:rsidRPr="00EB31A5" w:rsidRDefault="00EB31A5" w:rsidP="0019680E">
            <w:pPr>
              <w:jc w:val="both"/>
              <w:rPr>
                <w:rFonts w:cs="Arial"/>
                <w:szCs w:val="24"/>
              </w:rPr>
            </w:pPr>
            <w:r w:rsidRPr="00EB31A5">
              <w:rPr>
                <w:rFonts w:cs="Arial"/>
                <w:szCs w:val="24"/>
              </w:rPr>
              <w:t>4º</w:t>
            </w:r>
          </w:p>
        </w:tc>
        <w:tc>
          <w:tcPr>
            <w:tcW w:w="567" w:type="dxa"/>
            <w:tcBorders>
              <w:top w:val="single" w:sz="4" w:space="0" w:color="auto"/>
              <w:left w:val="single" w:sz="4" w:space="0" w:color="auto"/>
              <w:bottom w:val="single" w:sz="12" w:space="0" w:color="auto"/>
              <w:right w:val="nil"/>
            </w:tcBorders>
          </w:tcPr>
          <w:p w:rsidR="00EB31A5" w:rsidRPr="00EB31A5" w:rsidRDefault="00EB31A5" w:rsidP="0019680E">
            <w:pPr>
              <w:jc w:val="both"/>
              <w:rPr>
                <w:rFonts w:cs="Arial"/>
                <w:szCs w:val="24"/>
              </w:rPr>
            </w:pPr>
            <w:r w:rsidRPr="00EB31A5">
              <w:rPr>
                <w:rFonts w:cs="Arial"/>
                <w:szCs w:val="24"/>
              </w:rPr>
              <w:t>1º</w:t>
            </w:r>
          </w:p>
        </w:tc>
        <w:tc>
          <w:tcPr>
            <w:tcW w:w="426" w:type="dxa"/>
            <w:gridSpan w:val="2"/>
            <w:tcBorders>
              <w:top w:val="single" w:sz="4" w:space="0" w:color="auto"/>
              <w:left w:val="nil"/>
              <w:bottom w:val="single" w:sz="12" w:space="0" w:color="auto"/>
              <w:right w:val="nil"/>
            </w:tcBorders>
          </w:tcPr>
          <w:p w:rsidR="00EB31A5" w:rsidRPr="00EB31A5" w:rsidRDefault="00EB31A5" w:rsidP="0019680E">
            <w:pPr>
              <w:jc w:val="both"/>
              <w:rPr>
                <w:rFonts w:cs="Arial"/>
                <w:szCs w:val="24"/>
              </w:rPr>
            </w:pPr>
            <w:r w:rsidRPr="00EB31A5">
              <w:rPr>
                <w:rFonts w:cs="Arial"/>
                <w:szCs w:val="24"/>
              </w:rPr>
              <w:t>2º</w:t>
            </w:r>
          </w:p>
        </w:tc>
        <w:tc>
          <w:tcPr>
            <w:tcW w:w="567" w:type="dxa"/>
            <w:gridSpan w:val="2"/>
            <w:tcBorders>
              <w:top w:val="single" w:sz="4" w:space="0" w:color="auto"/>
              <w:left w:val="nil"/>
              <w:bottom w:val="single" w:sz="12" w:space="0" w:color="auto"/>
              <w:right w:val="nil"/>
            </w:tcBorders>
          </w:tcPr>
          <w:p w:rsidR="00EB31A5" w:rsidRPr="00EB31A5" w:rsidRDefault="00EB31A5" w:rsidP="0019680E">
            <w:pPr>
              <w:jc w:val="both"/>
              <w:rPr>
                <w:rFonts w:cs="Arial"/>
                <w:szCs w:val="24"/>
              </w:rPr>
            </w:pPr>
            <w:r w:rsidRPr="00EB31A5">
              <w:rPr>
                <w:rFonts w:cs="Arial"/>
                <w:szCs w:val="24"/>
              </w:rPr>
              <w:t>3º</w:t>
            </w:r>
          </w:p>
        </w:tc>
        <w:tc>
          <w:tcPr>
            <w:tcW w:w="510" w:type="dxa"/>
            <w:tcBorders>
              <w:top w:val="single" w:sz="4" w:space="0" w:color="auto"/>
              <w:left w:val="nil"/>
              <w:bottom w:val="single" w:sz="4" w:space="0" w:color="auto"/>
              <w:right w:val="nil"/>
            </w:tcBorders>
          </w:tcPr>
          <w:p w:rsidR="00EB31A5" w:rsidRPr="00EB31A5" w:rsidRDefault="00EB31A5" w:rsidP="0019680E">
            <w:pPr>
              <w:jc w:val="both"/>
              <w:rPr>
                <w:rFonts w:cs="Arial"/>
                <w:szCs w:val="24"/>
              </w:rPr>
            </w:pPr>
            <w:r w:rsidRPr="00EB31A5">
              <w:rPr>
                <w:rFonts w:cs="Arial"/>
                <w:szCs w:val="24"/>
              </w:rPr>
              <w:t>4º</w:t>
            </w:r>
          </w:p>
        </w:tc>
      </w:tr>
      <w:tr w:rsidR="00EB31A5" w:rsidRPr="00EB31A5" w:rsidTr="00235A0B">
        <w:trPr>
          <w:trHeight w:val="492"/>
        </w:trPr>
        <w:tc>
          <w:tcPr>
            <w:tcW w:w="2910" w:type="dxa"/>
            <w:gridSpan w:val="2"/>
            <w:tcBorders>
              <w:top w:val="single" w:sz="12" w:space="0" w:color="auto"/>
              <w:left w:val="nil"/>
              <w:bottom w:val="single" w:sz="4" w:space="0" w:color="auto"/>
              <w:right w:val="single" w:sz="4" w:space="0" w:color="auto"/>
            </w:tcBorders>
          </w:tcPr>
          <w:p w:rsidR="00EB31A5" w:rsidRPr="00EB31A5" w:rsidRDefault="00EB31A5" w:rsidP="0019680E">
            <w:pPr>
              <w:jc w:val="both"/>
              <w:rPr>
                <w:rFonts w:cs="Arial"/>
                <w:szCs w:val="24"/>
              </w:rPr>
            </w:pPr>
            <w:r w:rsidRPr="00EB31A5">
              <w:rPr>
                <w:rFonts w:cs="Arial"/>
                <w:szCs w:val="24"/>
              </w:rPr>
              <w:t>Revisão Bibliográfica</w:t>
            </w:r>
          </w:p>
        </w:tc>
        <w:tc>
          <w:tcPr>
            <w:tcW w:w="456" w:type="dxa"/>
            <w:gridSpan w:val="2"/>
            <w:tcBorders>
              <w:top w:val="single" w:sz="12"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492" w:type="dxa"/>
            <w:tcBorders>
              <w:top w:val="single" w:sz="12"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roofErr w:type="gramStart"/>
            <w:r w:rsidRPr="00EB31A5">
              <w:rPr>
                <w:rFonts w:cs="Arial"/>
                <w:szCs w:val="24"/>
              </w:rPr>
              <w:t>x</w:t>
            </w:r>
            <w:proofErr w:type="gramEnd"/>
          </w:p>
        </w:tc>
        <w:tc>
          <w:tcPr>
            <w:tcW w:w="468" w:type="dxa"/>
            <w:tcBorders>
              <w:top w:val="single" w:sz="12"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roofErr w:type="gramStart"/>
            <w:r w:rsidRPr="00EB31A5">
              <w:rPr>
                <w:rFonts w:cs="Arial"/>
                <w:szCs w:val="24"/>
              </w:rPr>
              <w:t>x</w:t>
            </w:r>
            <w:proofErr w:type="gramEnd"/>
          </w:p>
        </w:tc>
        <w:tc>
          <w:tcPr>
            <w:tcW w:w="468" w:type="dxa"/>
            <w:tcBorders>
              <w:top w:val="single" w:sz="12"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r w:rsidRPr="00EB31A5">
              <w:rPr>
                <w:rFonts w:cs="Arial"/>
                <w:szCs w:val="24"/>
              </w:rPr>
              <w:t>X</w:t>
            </w:r>
          </w:p>
        </w:tc>
        <w:tc>
          <w:tcPr>
            <w:tcW w:w="480" w:type="dxa"/>
            <w:tcBorders>
              <w:top w:val="single" w:sz="12"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roofErr w:type="gramStart"/>
            <w:r w:rsidRPr="00EB31A5">
              <w:rPr>
                <w:rFonts w:cs="Arial"/>
                <w:szCs w:val="24"/>
              </w:rPr>
              <w:t>x</w:t>
            </w:r>
            <w:proofErr w:type="gramEnd"/>
          </w:p>
        </w:tc>
        <w:tc>
          <w:tcPr>
            <w:tcW w:w="456" w:type="dxa"/>
            <w:tcBorders>
              <w:top w:val="single" w:sz="12"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roofErr w:type="gramStart"/>
            <w:r w:rsidRPr="00EB31A5">
              <w:rPr>
                <w:rFonts w:cs="Arial"/>
                <w:szCs w:val="24"/>
              </w:rPr>
              <w:t>x</w:t>
            </w:r>
            <w:proofErr w:type="gramEnd"/>
          </w:p>
        </w:tc>
        <w:tc>
          <w:tcPr>
            <w:tcW w:w="540" w:type="dxa"/>
            <w:gridSpan w:val="2"/>
            <w:tcBorders>
              <w:top w:val="single" w:sz="12"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roofErr w:type="gramStart"/>
            <w:r w:rsidRPr="00EB31A5">
              <w:rPr>
                <w:rFonts w:cs="Arial"/>
                <w:szCs w:val="24"/>
              </w:rPr>
              <w:t>x</w:t>
            </w:r>
            <w:proofErr w:type="gramEnd"/>
          </w:p>
        </w:tc>
        <w:tc>
          <w:tcPr>
            <w:tcW w:w="492" w:type="dxa"/>
            <w:gridSpan w:val="2"/>
            <w:tcBorders>
              <w:top w:val="single" w:sz="12"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roofErr w:type="gramStart"/>
            <w:r w:rsidRPr="00EB31A5">
              <w:rPr>
                <w:rFonts w:cs="Arial"/>
                <w:szCs w:val="24"/>
              </w:rPr>
              <w:t>x</w:t>
            </w:r>
            <w:proofErr w:type="gramEnd"/>
          </w:p>
        </w:tc>
        <w:tc>
          <w:tcPr>
            <w:tcW w:w="567" w:type="dxa"/>
            <w:tcBorders>
              <w:top w:val="single" w:sz="12"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roofErr w:type="gramStart"/>
            <w:r w:rsidRPr="00EB31A5">
              <w:rPr>
                <w:rFonts w:cs="Arial"/>
                <w:szCs w:val="24"/>
              </w:rPr>
              <w:t>x</w:t>
            </w:r>
            <w:proofErr w:type="gramEnd"/>
          </w:p>
        </w:tc>
        <w:tc>
          <w:tcPr>
            <w:tcW w:w="426" w:type="dxa"/>
            <w:gridSpan w:val="2"/>
            <w:tcBorders>
              <w:top w:val="single" w:sz="12"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546" w:type="dxa"/>
            <w:tcBorders>
              <w:top w:val="single" w:sz="12"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531" w:type="dxa"/>
            <w:gridSpan w:val="2"/>
            <w:tcBorders>
              <w:top w:val="single" w:sz="12" w:space="0" w:color="auto"/>
              <w:left w:val="single" w:sz="4" w:space="0" w:color="auto"/>
              <w:bottom w:val="single" w:sz="4" w:space="0" w:color="auto"/>
              <w:right w:val="nil"/>
            </w:tcBorders>
          </w:tcPr>
          <w:p w:rsidR="00EB31A5" w:rsidRPr="00EB31A5" w:rsidRDefault="00EB31A5" w:rsidP="0019680E">
            <w:pPr>
              <w:jc w:val="both"/>
              <w:rPr>
                <w:rFonts w:cs="Arial"/>
                <w:szCs w:val="24"/>
              </w:rPr>
            </w:pPr>
          </w:p>
        </w:tc>
      </w:tr>
      <w:tr w:rsidR="00EB31A5" w:rsidRPr="00EB31A5" w:rsidTr="00235A0B">
        <w:trPr>
          <w:trHeight w:val="552"/>
        </w:trPr>
        <w:tc>
          <w:tcPr>
            <w:tcW w:w="2910" w:type="dxa"/>
            <w:gridSpan w:val="2"/>
            <w:tcBorders>
              <w:top w:val="single" w:sz="4" w:space="0" w:color="auto"/>
              <w:left w:val="nil"/>
              <w:bottom w:val="single" w:sz="4" w:space="0" w:color="auto"/>
              <w:right w:val="single" w:sz="4" w:space="0" w:color="auto"/>
            </w:tcBorders>
          </w:tcPr>
          <w:p w:rsidR="00EB31A5" w:rsidRPr="00EB31A5" w:rsidRDefault="00EB31A5" w:rsidP="0019680E">
            <w:pPr>
              <w:jc w:val="both"/>
              <w:rPr>
                <w:rFonts w:cs="Arial"/>
                <w:szCs w:val="24"/>
              </w:rPr>
            </w:pPr>
            <w:r w:rsidRPr="00EB31A5">
              <w:rPr>
                <w:rFonts w:cs="Arial"/>
                <w:szCs w:val="24"/>
              </w:rPr>
              <w:t>Submissão ao Comitê de ética</w:t>
            </w:r>
          </w:p>
        </w:tc>
        <w:tc>
          <w:tcPr>
            <w:tcW w:w="456" w:type="dxa"/>
            <w:gridSpan w:val="2"/>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492"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roofErr w:type="gramStart"/>
            <w:r w:rsidRPr="00EB31A5">
              <w:rPr>
                <w:rFonts w:cs="Arial"/>
                <w:szCs w:val="24"/>
              </w:rPr>
              <w:t>x</w:t>
            </w:r>
            <w:proofErr w:type="gramEnd"/>
          </w:p>
        </w:tc>
        <w:tc>
          <w:tcPr>
            <w:tcW w:w="468"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468"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480"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456"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540" w:type="dxa"/>
            <w:gridSpan w:val="2"/>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492" w:type="dxa"/>
            <w:gridSpan w:val="2"/>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567"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420"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552" w:type="dxa"/>
            <w:gridSpan w:val="2"/>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531" w:type="dxa"/>
            <w:gridSpan w:val="2"/>
            <w:tcBorders>
              <w:top w:val="single" w:sz="4" w:space="0" w:color="auto"/>
              <w:left w:val="single" w:sz="4" w:space="0" w:color="auto"/>
              <w:bottom w:val="single" w:sz="4" w:space="0" w:color="auto"/>
              <w:right w:val="nil"/>
            </w:tcBorders>
          </w:tcPr>
          <w:p w:rsidR="00EB31A5" w:rsidRPr="00EB31A5" w:rsidRDefault="00EB31A5" w:rsidP="0019680E">
            <w:pPr>
              <w:jc w:val="both"/>
              <w:rPr>
                <w:rFonts w:cs="Arial"/>
                <w:szCs w:val="24"/>
              </w:rPr>
            </w:pPr>
          </w:p>
        </w:tc>
      </w:tr>
      <w:tr w:rsidR="00EB31A5" w:rsidRPr="00EB31A5" w:rsidTr="00235A0B">
        <w:trPr>
          <w:trHeight w:val="480"/>
        </w:trPr>
        <w:tc>
          <w:tcPr>
            <w:tcW w:w="2910" w:type="dxa"/>
            <w:gridSpan w:val="2"/>
            <w:tcBorders>
              <w:top w:val="single" w:sz="4" w:space="0" w:color="auto"/>
              <w:left w:val="nil"/>
              <w:bottom w:val="single" w:sz="4" w:space="0" w:color="auto"/>
              <w:right w:val="single" w:sz="4" w:space="0" w:color="auto"/>
            </w:tcBorders>
          </w:tcPr>
          <w:p w:rsidR="00EB31A5" w:rsidRPr="00EB31A5" w:rsidRDefault="00EB31A5" w:rsidP="0019680E">
            <w:pPr>
              <w:jc w:val="both"/>
              <w:rPr>
                <w:rFonts w:cs="Arial"/>
                <w:szCs w:val="24"/>
              </w:rPr>
            </w:pPr>
            <w:r w:rsidRPr="00EB31A5">
              <w:rPr>
                <w:rFonts w:cs="Arial"/>
                <w:szCs w:val="24"/>
              </w:rPr>
              <w:t>Ensaios</w:t>
            </w:r>
          </w:p>
        </w:tc>
        <w:tc>
          <w:tcPr>
            <w:tcW w:w="456" w:type="dxa"/>
            <w:gridSpan w:val="2"/>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492"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468"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roofErr w:type="gramStart"/>
            <w:r w:rsidRPr="00EB31A5">
              <w:rPr>
                <w:rFonts w:cs="Arial"/>
                <w:szCs w:val="24"/>
              </w:rPr>
              <w:t>x</w:t>
            </w:r>
            <w:proofErr w:type="gramEnd"/>
          </w:p>
        </w:tc>
        <w:tc>
          <w:tcPr>
            <w:tcW w:w="468"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r w:rsidRPr="00EB31A5">
              <w:rPr>
                <w:rFonts w:cs="Arial"/>
                <w:szCs w:val="24"/>
              </w:rPr>
              <w:t>X</w:t>
            </w:r>
          </w:p>
        </w:tc>
        <w:tc>
          <w:tcPr>
            <w:tcW w:w="480"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456"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540" w:type="dxa"/>
            <w:gridSpan w:val="2"/>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492" w:type="dxa"/>
            <w:gridSpan w:val="2"/>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567"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420"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552" w:type="dxa"/>
            <w:gridSpan w:val="2"/>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531" w:type="dxa"/>
            <w:gridSpan w:val="2"/>
            <w:tcBorders>
              <w:top w:val="single" w:sz="4" w:space="0" w:color="auto"/>
              <w:left w:val="single" w:sz="4" w:space="0" w:color="auto"/>
              <w:bottom w:val="single" w:sz="4" w:space="0" w:color="auto"/>
              <w:right w:val="nil"/>
            </w:tcBorders>
          </w:tcPr>
          <w:p w:rsidR="00EB31A5" w:rsidRPr="00EB31A5" w:rsidRDefault="00EB31A5" w:rsidP="0019680E">
            <w:pPr>
              <w:jc w:val="both"/>
              <w:rPr>
                <w:rFonts w:cs="Arial"/>
                <w:szCs w:val="24"/>
              </w:rPr>
            </w:pPr>
          </w:p>
        </w:tc>
      </w:tr>
      <w:tr w:rsidR="00EB31A5" w:rsidRPr="00EB31A5" w:rsidTr="00235A0B">
        <w:trPr>
          <w:trHeight w:val="384"/>
        </w:trPr>
        <w:tc>
          <w:tcPr>
            <w:tcW w:w="2910" w:type="dxa"/>
            <w:gridSpan w:val="2"/>
            <w:tcBorders>
              <w:top w:val="single" w:sz="4" w:space="0" w:color="auto"/>
              <w:left w:val="nil"/>
              <w:bottom w:val="single" w:sz="4" w:space="0" w:color="auto"/>
              <w:right w:val="single" w:sz="4" w:space="0" w:color="auto"/>
            </w:tcBorders>
          </w:tcPr>
          <w:p w:rsidR="00EB31A5" w:rsidRPr="00EB31A5" w:rsidRDefault="00EB31A5" w:rsidP="0019680E">
            <w:pPr>
              <w:jc w:val="both"/>
              <w:rPr>
                <w:rFonts w:cs="Arial"/>
                <w:szCs w:val="24"/>
              </w:rPr>
            </w:pPr>
            <w:r w:rsidRPr="00EB31A5">
              <w:rPr>
                <w:rFonts w:cs="Arial"/>
                <w:szCs w:val="24"/>
              </w:rPr>
              <w:t>Análise de Resultados</w:t>
            </w:r>
          </w:p>
        </w:tc>
        <w:tc>
          <w:tcPr>
            <w:tcW w:w="456" w:type="dxa"/>
            <w:gridSpan w:val="2"/>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492"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468"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468"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480"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roofErr w:type="gramStart"/>
            <w:r w:rsidRPr="00EB31A5">
              <w:rPr>
                <w:rFonts w:cs="Arial"/>
                <w:szCs w:val="24"/>
              </w:rPr>
              <w:t>x</w:t>
            </w:r>
            <w:proofErr w:type="gramEnd"/>
          </w:p>
        </w:tc>
        <w:tc>
          <w:tcPr>
            <w:tcW w:w="456"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roofErr w:type="gramStart"/>
            <w:r w:rsidRPr="00EB31A5">
              <w:rPr>
                <w:rFonts w:cs="Arial"/>
                <w:szCs w:val="24"/>
              </w:rPr>
              <w:t>x</w:t>
            </w:r>
            <w:proofErr w:type="gramEnd"/>
          </w:p>
        </w:tc>
        <w:tc>
          <w:tcPr>
            <w:tcW w:w="540" w:type="dxa"/>
            <w:gridSpan w:val="2"/>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roofErr w:type="gramStart"/>
            <w:r w:rsidRPr="00EB31A5">
              <w:rPr>
                <w:rFonts w:cs="Arial"/>
                <w:szCs w:val="24"/>
              </w:rPr>
              <w:t>x</w:t>
            </w:r>
            <w:proofErr w:type="gramEnd"/>
          </w:p>
        </w:tc>
        <w:tc>
          <w:tcPr>
            <w:tcW w:w="492" w:type="dxa"/>
            <w:gridSpan w:val="2"/>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roofErr w:type="gramStart"/>
            <w:r w:rsidRPr="00EB31A5">
              <w:rPr>
                <w:rFonts w:cs="Arial"/>
                <w:szCs w:val="24"/>
              </w:rPr>
              <w:t>x</w:t>
            </w:r>
            <w:proofErr w:type="gramEnd"/>
          </w:p>
        </w:tc>
        <w:tc>
          <w:tcPr>
            <w:tcW w:w="567"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roofErr w:type="gramStart"/>
            <w:r w:rsidRPr="00EB31A5">
              <w:rPr>
                <w:rFonts w:cs="Arial"/>
                <w:szCs w:val="24"/>
              </w:rPr>
              <w:t>x</w:t>
            </w:r>
            <w:proofErr w:type="gramEnd"/>
          </w:p>
        </w:tc>
        <w:tc>
          <w:tcPr>
            <w:tcW w:w="420" w:type="dxa"/>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552" w:type="dxa"/>
            <w:gridSpan w:val="2"/>
            <w:tcBorders>
              <w:top w:val="single" w:sz="4" w:space="0" w:color="auto"/>
              <w:left w:val="single" w:sz="4" w:space="0" w:color="auto"/>
              <w:bottom w:val="single" w:sz="4" w:space="0" w:color="auto"/>
              <w:right w:val="single" w:sz="4" w:space="0" w:color="auto"/>
            </w:tcBorders>
          </w:tcPr>
          <w:p w:rsidR="00EB31A5" w:rsidRPr="00EB31A5" w:rsidRDefault="00EB31A5" w:rsidP="0019680E">
            <w:pPr>
              <w:jc w:val="both"/>
              <w:rPr>
                <w:rFonts w:cs="Arial"/>
                <w:szCs w:val="24"/>
              </w:rPr>
            </w:pPr>
          </w:p>
        </w:tc>
        <w:tc>
          <w:tcPr>
            <w:tcW w:w="531" w:type="dxa"/>
            <w:gridSpan w:val="2"/>
            <w:tcBorders>
              <w:top w:val="single" w:sz="4" w:space="0" w:color="auto"/>
              <w:left w:val="single" w:sz="4" w:space="0" w:color="auto"/>
              <w:bottom w:val="single" w:sz="4" w:space="0" w:color="auto"/>
              <w:right w:val="nil"/>
            </w:tcBorders>
          </w:tcPr>
          <w:p w:rsidR="00EB31A5" w:rsidRPr="00EB31A5" w:rsidRDefault="00EB31A5" w:rsidP="0019680E">
            <w:pPr>
              <w:jc w:val="both"/>
              <w:rPr>
                <w:rFonts w:cs="Arial"/>
                <w:szCs w:val="24"/>
              </w:rPr>
            </w:pPr>
          </w:p>
        </w:tc>
      </w:tr>
      <w:tr w:rsidR="00EB31A5" w:rsidRPr="00EB31A5" w:rsidTr="00235A0B">
        <w:trPr>
          <w:trHeight w:val="360"/>
        </w:trPr>
        <w:tc>
          <w:tcPr>
            <w:tcW w:w="2910" w:type="dxa"/>
            <w:gridSpan w:val="2"/>
            <w:tcBorders>
              <w:top w:val="single" w:sz="4" w:space="0" w:color="auto"/>
              <w:left w:val="nil"/>
              <w:bottom w:val="single" w:sz="12" w:space="0" w:color="auto"/>
              <w:right w:val="single" w:sz="4" w:space="0" w:color="auto"/>
            </w:tcBorders>
          </w:tcPr>
          <w:p w:rsidR="00EB31A5" w:rsidRPr="00EB31A5" w:rsidRDefault="00EB31A5" w:rsidP="0019680E">
            <w:pPr>
              <w:jc w:val="both"/>
              <w:rPr>
                <w:rFonts w:cs="Arial"/>
                <w:szCs w:val="24"/>
              </w:rPr>
            </w:pPr>
            <w:r w:rsidRPr="00EB31A5">
              <w:rPr>
                <w:rFonts w:cs="Arial"/>
                <w:szCs w:val="24"/>
              </w:rPr>
              <w:t>Elaboração e Defesa da Dissertação</w:t>
            </w:r>
          </w:p>
        </w:tc>
        <w:tc>
          <w:tcPr>
            <w:tcW w:w="456" w:type="dxa"/>
            <w:gridSpan w:val="2"/>
            <w:tcBorders>
              <w:top w:val="single" w:sz="4" w:space="0" w:color="auto"/>
              <w:left w:val="single" w:sz="4" w:space="0" w:color="auto"/>
              <w:bottom w:val="single" w:sz="12" w:space="0" w:color="auto"/>
              <w:right w:val="single" w:sz="4" w:space="0" w:color="auto"/>
            </w:tcBorders>
          </w:tcPr>
          <w:p w:rsidR="00EB31A5" w:rsidRPr="00EB31A5" w:rsidRDefault="00EB31A5" w:rsidP="0019680E">
            <w:pPr>
              <w:jc w:val="both"/>
              <w:rPr>
                <w:rFonts w:cs="Arial"/>
                <w:szCs w:val="24"/>
              </w:rPr>
            </w:pPr>
          </w:p>
        </w:tc>
        <w:tc>
          <w:tcPr>
            <w:tcW w:w="492" w:type="dxa"/>
            <w:tcBorders>
              <w:top w:val="single" w:sz="4" w:space="0" w:color="auto"/>
              <w:left w:val="single" w:sz="4" w:space="0" w:color="auto"/>
              <w:bottom w:val="single" w:sz="12" w:space="0" w:color="auto"/>
              <w:right w:val="single" w:sz="4" w:space="0" w:color="auto"/>
            </w:tcBorders>
          </w:tcPr>
          <w:p w:rsidR="00EB31A5" w:rsidRPr="00EB31A5" w:rsidRDefault="00EB31A5" w:rsidP="0019680E">
            <w:pPr>
              <w:jc w:val="both"/>
              <w:rPr>
                <w:rFonts w:cs="Arial"/>
                <w:szCs w:val="24"/>
              </w:rPr>
            </w:pPr>
          </w:p>
        </w:tc>
        <w:tc>
          <w:tcPr>
            <w:tcW w:w="468" w:type="dxa"/>
            <w:tcBorders>
              <w:top w:val="single" w:sz="4" w:space="0" w:color="auto"/>
              <w:left w:val="single" w:sz="4" w:space="0" w:color="auto"/>
              <w:bottom w:val="single" w:sz="12" w:space="0" w:color="auto"/>
              <w:right w:val="single" w:sz="4" w:space="0" w:color="auto"/>
            </w:tcBorders>
          </w:tcPr>
          <w:p w:rsidR="00EB31A5" w:rsidRPr="00EB31A5" w:rsidRDefault="00EB31A5" w:rsidP="0019680E">
            <w:pPr>
              <w:jc w:val="both"/>
              <w:rPr>
                <w:rFonts w:cs="Arial"/>
                <w:szCs w:val="24"/>
              </w:rPr>
            </w:pPr>
          </w:p>
        </w:tc>
        <w:tc>
          <w:tcPr>
            <w:tcW w:w="468" w:type="dxa"/>
            <w:tcBorders>
              <w:top w:val="single" w:sz="4" w:space="0" w:color="auto"/>
              <w:left w:val="single" w:sz="4" w:space="0" w:color="auto"/>
              <w:bottom w:val="single" w:sz="12" w:space="0" w:color="auto"/>
              <w:right w:val="single" w:sz="4" w:space="0" w:color="auto"/>
            </w:tcBorders>
          </w:tcPr>
          <w:p w:rsidR="00EB31A5" w:rsidRPr="00EB31A5" w:rsidRDefault="00EB31A5" w:rsidP="0019680E">
            <w:pPr>
              <w:jc w:val="both"/>
              <w:rPr>
                <w:rFonts w:cs="Arial"/>
                <w:szCs w:val="24"/>
              </w:rPr>
            </w:pPr>
          </w:p>
        </w:tc>
        <w:tc>
          <w:tcPr>
            <w:tcW w:w="480" w:type="dxa"/>
            <w:tcBorders>
              <w:top w:val="single" w:sz="4" w:space="0" w:color="auto"/>
              <w:left w:val="single" w:sz="4" w:space="0" w:color="auto"/>
              <w:bottom w:val="single" w:sz="12" w:space="0" w:color="auto"/>
              <w:right w:val="single" w:sz="4" w:space="0" w:color="auto"/>
            </w:tcBorders>
          </w:tcPr>
          <w:p w:rsidR="00EB31A5" w:rsidRPr="00EB31A5" w:rsidRDefault="00EB31A5" w:rsidP="0019680E">
            <w:pPr>
              <w:jc w:val="both"/>
              <w:rPr>
                <w:rFonts w:cs="Arial"/>
                <w:szCs w:val="24"/>
              </w:rPr>
            </w:pPr>
          </w:p>
        </w:tc>
        <w:tc>
          <w:tcPr>
            <w:tcW w:w="456" w:type="dxa"/>
            <w:tcBorders>
              <w:top w:val="single" w:sz="4" w:space="0" w:color="auto"/>
              <w:left w:val="single" w:sz="4" w:space="0" w:color="auto"/>
              <w:bottom w:val="single" w:sz="12" w:space="0" w:color="auto"/>
              <w:right w:val="single" w:sz="4" w:space="0" w:color="auto"/>
            </w:tcBorders>
          </w:tcPr>
          <w:p w:rsidR="00EB31A5" w:rsidRPr="00EB31A5" w:rsidRDefault="00EB31A5" w:rsidP="0019680E">
            <w:pPr>
              <w:jc w:val="both"/>
              <w:rPr>
                <w:rFonts w:cs="Arial"/>
                <w:szCs w:val="24"/>
              </w:rPr>
            </w:pPr>
            <w:proofErr w:type="gramStart"/>
            <w:r w:rsidRPr="00EB31A5">
              <w:rPr>
                <w:rFonts w:cs="Arial"/>
                <w:szCs w:val="24"/>
              </w:rPr>
              <w:t>x</w:t>
            </w:r>
            <w:proofErr w:type="gramEnd"/>
          </w:p>
        </w:tc>
        <w:tc>
          <w:tcPr>
            <w:tcW w:w="540" w:type="dxa"/>
            <w:gridSpan w:val="2"/>
            <w:tcBorders>
              <w:top w:val="single" w:sz="4" w:space="0" w:color="auto"/>
              <w:left w:val="single" w:sz="4" w:space="0" w:color="auto"/>
              <w:bottom w:val="single" w:sz="12" w:space="0" w:color="auto"/>
              <w:right w:val="single" w:sz="4" w:space="0" w:color="auto"/>
            </w:tcBorders>
          </w:tcPr>
          <w:p w:rsidR="00EB31A5" w:rsidRPr="00EB31A5" w:rsidRDefault="00EB31A5" w:rsidP="0019680E">
            <w:pPr>
              <w:jc w:val="both"/>
              <w:rPr>
                <w:rFonts w:cs="Arial"/>
                <w:szCs w:val="24"/>
              </w:rPr>
            </w:pPr>
            <w:proofErr w:type="gramStart"/>
            <w:r w:rsidRPr="00EB31A5">
              <w:rPr>
                <w:rFonts w:cs="Arial"/>
                <w:szCs w:val="24"/>
              </w:rPr>
              <w:t>x</w:t>
            </w:r>
            <w:proofErr w:type="gramEnd"/>
          </w:p>
        </w:tc>
        <w:tc>
          <w:tcPr>
            <w:tcW w:w="492" w:type="dxa"/>
            <w:gridSpan w:val="2"/>
            <w:tcBorders>
              <w:top w:val="single" w:sz="4" w:space="0" w:color="auto"/>
              <w:left w:val="single" w:sz="4" w:space="0" w:color="auto"/>
              <w:bottom w:val="single" w:sz="12" w:space="0" w:color="auto"/>
              <w:right w:val="single" w:sz="4" w:space="0" w:color="auto"/>
            </w:tcBorders>
          </w:tcPr>
          <w:p w:rsidR="00EB31A5" w:rsidRPr="00EB31A5" w:rsidRDefault="00EB31A5" w:rsidP="0019680E">
            <w:pPr>
              <w:jc w:val="both"/>
              <w:rPr>
                <w:rFonts w:cs="Arial"/>
                <w:szCs w:val="24"/>
              </w:rPr>
            </w:pPr>
            <w:proofErr w:type="gramStart"/>
            <w:r w:rsidRPr="00EB31A5">
              <w:rPr>
                <w:rFonts w:cs="Arial"/>
                <w:szCs w:val="24"/>
              </w:rPr>
              <w:t>x</w:t>
            </w:r>
            <w:proofErr w:type="gramEnd"/>
          </w:p>
        </w:tc>
        <w:tc>
          <w:tcPr>
            <w:tcW w:w="567" w:type="dxa"/>
            <w:tcBorders>
              <w:top w:val="single" w:sz="4" w:space="0" w:color="auto"/>
              <w:left w:val="single" w:sz="4" w:space="0" w:color="auto"/>
              <w:bottom w:val="single" w:sz="12" w:space="0" w:color="auto"/>
              <w:right w:val="single" w:sz="4" w:space="0" w:color="auto"/>
            </w:tcBorders>
          </w:tcPr>
          <w:p w:rsidR="00EB31A5" w:rsidRPr="00EB31A5" w:rsidRDefault="00EB31A5" w:rsidP="0019680E">
            <w:pPr>
              <w:jc w:val="both"/>
              <w:rPr>
                <w:rFonts w:cs="Arial"/>
                <w:szCs w:val="24"/>
              </w:rPr>
            </w:pPr>
            <w:proofErr w:type="gramStart"/>
            <w:r w:rsidRPr="00EB31A5">
              <w:rPr>
                <w:rFonts w:cs="Arial"/>
                <w:szCs w:val="24"/>
              </w:rPr>
              <w:t>x</w:t>
            </w:r>
            <w:proofErr w:type="gramEnd"/>
          </w:p>
        </w:tc>
        <w:tc>
          <w:tcPr>
            <w:tcW w:w="420" w:type="dxa"/>
            <w:tcBorders>
              <w:top w:val="single" w:sz="4" w:space="0" w:color="auto"/>
              <w:left w:val="single" w:sz="4" w:space="0" w:color="auto"/>
              <w:bottom w:val="single" w:sz="12" w:space="0" w:color="auto"/>
              <w:right w:val="single" w:sz="4" w:space="0" w:color="auto"/>
            </w:tcBorders>
          </w:tcPr>
          <w:p w:rsidR="00EB31A5" w:rsidRPr="00EB31A5" w:rsidRDefault="00EB31A5" w:rsidP="0019680E">
            <w:pPr>
              <w:jc w:val="both"/>
              <w:rPr>
                <w:rFonts w:cs="Arial"/>
                <w:szCs w:val="24"/>
              </w:rPr>
            </w:pPr>
          </w:p>
        </w:tc>
        <w:tc>
          <w:tcPr>
            <w:tcW w:w="552" w:type="dxa"/>
            <w:gridSpan w:val="2"/>
            <w:tcBorders>
              <w:top w:val="single" w:sz="4" w:space="0" w:color="auto"/>
              <w:left w:val="single" w:sz="4" w:space="0" w:color="auto"/>
              <w:bottom w:val="single" w:sz="12" w:space="0" w:color="auto"/>
              <w:right w:val="single" w:sz="4" w:space="0" w:color="auto"/>
            </w:tcBorders>
          </w:tcPr>
          <w:p w:rsidR="00EB31A5" w:rsidRPr="00EB31A5" w:rsidRDefault="00EB31A5" w:rsidP="0019680E">
            <w:pPr>
              <w:jc w:val="both"/>
              <w:rPr>
                <w:rFonts w:cs="Arial"/>
                <w:szCs w:val="24"/>
              </w:rPr>
            </w:pPr>
          </w:p>
        </w:tc>
        <w:tc>
          <w:tcPr>
            <w:tcW w:w="531" w:type="dxa"/>
            <w:gridSpan w:val="2"/>
            <w:tcBorders>
              <w:top w:val="single" w:sz="4" w:space="0" w:color="auto"/>
              <w:left w:val="single" w:sz="4" w:space="0" w:color="auto"/>
              <w:bottom w:val="single" w:sz="12" w:space="0" w:color="auto"/>
              <w:right w:val="nil"/>
            </w:tcBorders>
          </w:tcPr>
          <w:p w:rsidR="00EB31A5" w:rsidRPr="00EB31A5" w:rsidRDefault="00EB31A5" w:rsidP="0019680E">
            <w:pPr>
              <w:jc w:val="both"/>
              <w:rPr>
                <w:rFonts w:cs="Arial"/>
                <w:szCs w:val="24"/>
              </w:rPr>
            </w:pPr>
          </w:p>
        </w:tc>
      </w:tr>
    </w:tbl>
    <w:p w:rsidR="00EB31A5" w:rsidRPr="00EB31A5" w:rsidRDefault="00EB31A5" w:rsidP="0019680E">
      <w:pPr>
        <w:jc w:val="both"/>
        <w:rPr>
          <w:rFonts w:cs="Arial"/>
          <w:szCs w:val="24"/>
        </w:rPr>
      </w:pPr>
    </w:p>
    <w:p w:rsidR="00EB31A5" w:rsidRPr="00EB31A5" w:rsidRDefault="00EB31A5" w:rsidP="0019680E">
      <w:pPr>
        <w:jc w:val="both"/>
        <w:rPr>
          <w:rFonts w:cs="Arial"/>
          <w:szCs w:val="24"/>
        </w:rPr>
      </w:pPr>
      <w:r w:rsidRPr="00EB31A5">
        <w:rPr>
          <w:rFonts w:cs="Arial"/>
          <w:szCs w:val="24"/>
        </w:rPr>
        <w:t>Observação: O período do mestrado será de março de 2019 a março de 2021.</w:t>
      </w:r>
    </w:p>
    <w:p w:rsidR="00EB31A5" w:rsidRPr="00EB31A5" w:rsidRDefault="00EB31A5" w:rsidP="0019680E">
      <w:pPr>
        <w:jc w:val="both"/>
        <w:rPr>
          <w:rFonts w:cs="Arial"/>
          <w:szCs w:val="24"/>
        </w:rPr>
      </w:pPr>
    </w:p>
    <w:p w:rsidR="00EB31A5" w:rsidRPr="00EB31A5" w:rsidRDefault="00EB31A5" w:rsidP="0019680E">
      <w:pPr>
        <w:pStyle w:val="Ttulo1"/>
        <w:spacing w:before="120"/>
        <w:jc w:val="both"/>
      </w:pPr>
      <w:bookmarkStart w:id="46" w:name="_Toc6842233"/>
      <w:r>
        <w:lastRenderedPageBreak/>
        <w:t xml:space="preserve">7 </w:t>
      </w:r>
      <w:r w:rsidRPr="00EB31A5">
        <w:t>ORÇAMENTO</w:t>
      </w:r>
      <w:bookmarkEnd w:id="46"/>
    </w:p>
    <w:p w:rsidR="00EB31A5" w:rsidRPr="00EB31A5" w:rsidRDefault="00EB31A5" w:rsidP="0019680E">
      <w:pPr>
        <w:jc w:val="both"/>
        <w:rPr>
          <w:rFonts w:cs="Arial"/>
          <w:szCs w:val="24"/>
        </w:rPr>
      </w:pPr>
    </w:p>
    <w:tbl>
      <w:tblPr>
        <w:tblStyle w:val="Tabelacomgrade"/>
        <w:tblW w:w="0" w:type="auto"/>
        <w:tblLook w:val="04A0" w:firstRow="1" w:lastRow="0" w:firstColumn="1" w:lastColumn="0" w:noHBand="0" w:noVBand="1"/>
      </w:tblPr>
      <w:tblGrid>
        <w:gridCol w:w="1163"/>
        <w:gridCol w:w="3879"/>
        <w:gridCol w:w="1984"/>
        <w:gridCol w:w="1558"/>
      </w:tblGrid>
      <w:tr w:rsidR="00EB31A5" w:rsidRPr="00EB31A5" w:rsidTr="00235A0B">
        <w:trPr>
          <w:trHeight w:val="699"/>
        </w:trPr>
        <w:tc>
          <w:tcPr>
            <w:tcW w:w="1083" w:type="dxa"/>
            <w:tcBorders>
              <w:top w:val="single" w:sz="12" w:space="0" w:color="auto"/>
              <w:left w:val="nil"/>
              <w:bottom w:val="single" w:sz="12" w:space="0" w:color="auto"/>
              <w:right w:val="nil"/>
            </w:tcBorders>
          </w:tcPr>
          <w:p w:rsidR="00EB31A5" w:rsidRPr="00EB31A5" w:rsidRDefault="00EB31A5" w:rsidP="0019680E">
            <w:pPr>
              <w:jc w:val="both"/>
              <w:rPr>
                <w:rFonts w:cs="Arial"/>
                <w:b/>
                <w:szCs w:val="24"/>
              </w:rPr>
            </w:pPr>
            <w:r w:rsidRPr="00EB31A5">
              <w:rPr>
                <w:rFonts w:cs="Arial"/>
                <w:b/>
                <w:szCs w:val="24"/>
              </w:rPr>
              <w:t>Unidade</w:t>
            </w:r>
          </w:p>
        </w:tc>
        <w:tc>
          <w:tcPr>
            <w:tcW w:w="3879" w:type="dxa"/>
            <w:tcBorders>
              <w:top w:val="single" w:sz="12" w:space="0" w:color="auto"/>
              <w:left w:val="nil"/>
              <w:bottom w:val="single" w:sz="12" w:space="0" w:color="auto"/>
              <w:right w:val="nil"/>
            </w:tcBorders>
          </w:tcPr>
          <w:p w:rsidR="00EB31A5" w:rsidRPr="00EB31A5" w:rsidRDefault="00EB31A5" w:rsidP="0019680E">
            <w:pPr>
              <w:jc w:val="both"/>
              <w:rPr>
                <w:rFonts w:cs="Arial"/>
                <w:b/>
                <w:szCs w:val="24"/>
              </w:rPr>
            </w:pPr>
            <w:r w:rsidRPr="00EB31A5">
              <w:rPr>
                <w:rFonts w:cs="Arial"/>
                <w:b/>
                <w:szCs w:val="24"/>
              </w:rPr>
              <w:t>Material de Consumo</w:t>
            </w:r>
          </w:p>
        </w:tc>
        <w:tc>
          <w:tcPr>
            <w:tcW w:w="1984" w:type="dxa"/>
            <w:tcBorders>
              <w:top w:val="single" w:sz="12" w:space="0" w:color="auto"/>
              <w:left w:val="nil"/>
              <w:bottom w:val="single" w:sz="12" w:space="0" w:color="auto"/>
              <w:right w:val="nil"/>
            </w:tcBorders>
          </w:tcPr>
          <w:p w:rsidR="00EB31A5" w:rsidRPr="00EB31A5" w:rsidRDefault="00EB31A5" w:rsidP="0019680E">
            <w:pPr>
              <w:jc w:val="both"/>
              <w:rPr>
                <w:rFonts w:cs="Arial"/>
                <w:b/>
                <w:szCs w:val="24"/>
              </w:rPr>
            </w:pPr>
            <w:r w:rsidRPr="00EB31A5">
              <w:rPr>
                <w:rFonts w:cs="Arial"/>
                <w:b/>
                <w:szCs w:val="24"/>
              </w:rPr>
              <w:t>Valor Unitário</w:t>
            </w:r>
          </w:p>
        </w:tc>
        <w:tc>
          <w:tcPr>
            <w:tcW w:w="1558" w:type="dxa"/>
            <w:tcBorders>
              <w:top w:val="single" w:sz="12" w:space="0" w:color="auto"/>
              <w:left w:val="nil"/>
              <w:bottom w:val="single" w:sz="12" w:space="0" w:color="auto"/>
              <w:right w:val="nil"/>
            </w:tcBorders>
          </w:tcPr>
          <w:p w:rsidR="00EB31A5" w:rsidRPr="00EB31A5" w:rsidRDefault="00EB31A5" w:rsidP="0019680E">
            <w:pPr>
              <w:jc w:val="both"/>
              <w:rPr>
                <w:rFonts w:cs="Arial"/>
                <w:b/>
                <w:szCs w:val="24"/>
              </w:rPr>
            </w:pPr>
            <w:r w:rsidRPr="00EB31A5">
              <w:rPr>
                <w:rFonts w:cs="Arial"/>
                <w:b/>
                <w:szCs w:val="24"/>
              </w:rPr>
              <w:t>Valor Total</w:t>
            </w:r>
          </w:p>
        </w:tc>
      </w:tr>
      <w:tr w:rsidR="00EB31A5" w:rsidRPr="00EB31A5" w:rsidTr="00235A0B">
        <w:tc>
          <w:tcPr>
            <w:tcW w:w="1083" w:type="dxa"/>
            <w:tcBorders>
              <w:top w:val="nil"/>
              <w:left w:val="nil"/>
              <w:bottom w:val="nil"/>
              <w:right w:val="nil"/>
            </w:tcBorders>
            <w:shd w:val="clear" w:color="auto" w:fill="D0CECE" w:themeFill="background2" w:themeFillShade="E6"/>
          </w:tcPr>
          <w:p w:rsidR="00EB31A5" w:rsidRPr="00EB31A5" w:rsidRDefault="00EB31A5" w:rsidP="0019680E">
            <w:pPr>
              <w:jc w:val="both"/>
              <w:rPr>
                <w:rFonts w:cs="Arial"/>
                <w:szCs w:val="24"/>
              </w:rPr>
            </w:pPr>
            <w:r w:rsidRPr="00EB31A5">
              <w:rPr>
                <w:rFonts w:cs="Arial"/>
                <w:szCs w:val="24"/>
              </w:rPr>
              <w:t>20</w:t>
            </w:r>
          </w:p>
        </w:tc>
        <w:tc>
          <w:tcPr>
            <w:tcW w:w="3879" w:type="dxa"/>
            <w:tcBorders>
              <w:top w:val="nil"/>
              <w:left w:val="nil"/>
              <w:bottom w:val="nil"/>
              <w:right w:val="nil"/>
            </w:tcBorders>
            <w:shd w:val="clear" w:color="auto" w:fill="D0CECE" w:themeFill="background2" w:themeFillShade="E6"/>
          </w:tcPr>
          <w:p w:rsidR="00EB31A5" w:rsidRPr="00EB31A5" w:rsidRDefault="00EB31A5" w:rsidP="0019680E">
            <w:pPr>
              <w:jc w:val="both"/>
              <w:rPr>
                <w:rFonts w:cs="Arial"/>
                <w:szCs w:val="24"/>
              </w:rPr>
            </w:pPr>
            <w:r w:rsidRPr="00EB31A5">
              <w:rPr>
                <w:rFonts w:cs="Arial"/>
                <w:szCs w:val="24"/>
              </w:rPr>
              <w:t xml:space="preserve">Óleo essencial de </w:t>
            </w:r>
            <w:r w:rsidRPr="00EB31A5">
              <w:rPr>
                <w:rFonts w:cs="Arial"/>
                <w:i/>
                <w:szCs w:val="24"/>
              </w:rPr>
              <w:t>Olea europaea</w:t>
            </w:r>
            <w:r w:rsidRPr="00EB31A5">
              <w:rPr>
                <w:rFonts w:cs="Arial"/>
                <w:szCs w:val="24"/>
              </w:rPr>
              <w:t xml:space="preserve"> (500 ml)</w:t>
            </w:r>
          </w:p>
        </w:tc>
        <w:tc>
          <w:tcPr>
            <w:tcW w:w="1984" w:type="dxa"/>
            <w:tcBorders>
              <w:top w:val="nil"/>
              <w:left w:val="nil"/>
              <w:bottom w:val="nil"/>
              <w:right w:val="nil"/>
            </w:tcBorders>
            <w:shd w:val="clear" w:color="auto" w:fill="D0CECE" w:themeFill="background2" w:themeFillShade="E6"/>
          </w:tcPr>
          <w:p w:rsidR="00EB31A5" w:rsidRPr="00EB31A5" w:rsidRDefault="00EB31A5" w:rsidP="0019680E">
            <w:pPr>
              <w:pStyle w:val="Default"/>
              <w:spacing w:before="120" w:line="360" w:lineRule="auto"/>
              <w:jc w:val="both"/>
            </w:pPr>
            <w:r w:rsidRPr="00EB31A5">
              <w:t>R$ 600,00</w:t>
            </w:r>
          </w:p>
        </w:tc>
        <w:tc>
          <w:tcPr>
            <w:tcW w:w="1558" w:type="dxa"/>
            <w:tcBorders>
              <w:top w:val="nil"/>
              <w:left w:val="nil"/>
              <w:bottom w:val="nil"/>
              <w:right w:val="nil"/>
            </w:tcBorders>
            <w:shd w:val="clear" w:color="auto" w:fill="D0CECE" w:themeFill="background2" w:themeFillShade="E6"/>
          </w:tcPr>
          <w:p w:rsidR="00EB31A5" w:rsidRPr="00EB31A5" w:rsidRDefault="00EB31A5" w:rsidP="0019680E">
            <w:pPr>
              <w:pStyle w:val="Default"/>
              <w:spacing w:before="120" w:line="360" w:lineRule="auto"/>
              <w:jc w:val="both"/>
            </w:pPr>
            <w:r w:rsidRPr="00EB31A5">
              <w:t>R$ 12.000,00</w:t>
            </w:r>
          </w:p>
        </w:tc>
      </w:tr>
      <w:tr w:rsidR="00EB31A5" w:rsidRPr="00EB31A5" w:rsidTr="00235A0B">
        <w:tc>
          <w:tcPr>
            <w:tcW w:w="1083" w:type="dxa"/>
            <w:tcBorders>
              <w:top w:val="nil"/>
              <w:left w:val="nil"/>
              <w:bottom w:val="nil"/>
              <w:right w:val="nil"/>
            </w:tcBorders>
          </w:tcPr>
          <w:p w:rsidR="00EB31A5" w:rsidRPr="00EB31A5" w:rsidRDefault="00EB31A5" w:rsidP="0019680E">
            <w:pPr>
              <w:jc w:val="both"/>
              <w:rPr>
                <w:rFonts w:cs="Arial"/>
                <w:szCs w:val="24"/>
              </w:rPr>
            </w:pPr>
            <w:r w:rsidRPr="00EB31A5">
              <w:rPr>
                <w:rFonts w:cs="Arial"/>
                <w:szCs w:val="24"/>
              </w:rPr>
              <w:t>01</w:t>
            </w:r>
          </w:p>
        </w:tc>
        <w:tc>
          <w:tcPr>
            <w:tcW w:w="3879" w:type="dxa"/>
            <w:tcBorders>
              <w:top w:val="nil"/>
              <w:left w:val="nil"/>
              <w:bottom w:val="nil"/>
              <w:right w:val="nil"/>
            </w:tcBorders>
          </w:tcPr>
          <w:p w:rsidR="00EB31A5" w:rsidRPr="00EB31A5" w:rsidRDefault="00EB31A5" w:rsidP="0019680E">
            <w:pPr>
              <w:jc w:val="both"/>
              <w:rPr>
                <w:rFonts w:cs="Arial"/>
                <w:szCs w:val="24"/>
              </w:rPr>
            </w:pPr>
            <w:r w:rsidRPr="00EB31A5">
              <w:rPr>
                <w:rFonts w:cs="Arial"/>
                <w:szCs w:val="24"/>
              </w:rPr>
              <w:t>Padrão cromatográfico</w:t>
            </w:r>
          </w:p>
        </w:tc>
        <w:tc>
          <w:tcPr>
            <w:tcW w:w="1984" w:type="dxa"/>
            <w:tcBorders>
              <w:top w:val="nil"/>
              <w:left w:val="nil"/>
              <w:bottom w:val="nil"/>
              <w:right w:val="nil"/>
            </w:tcBorders>
          </w:tcPr>
          <w:p w:rsidR="00EB31A5" w:rsidRPr="00EB31A5" w:rsidRDefault="00EB31A5" w:rsidP="0019680E">
            <w:pPr>
              <w:pStyle w:val="Default"/>
              <w:spacing w:before="120" w:line="360" w:lineRule="auto"/>
              <w:jc w:val="both"/>
            </w:pPr>
            <w:r w:rsidRPr="00EB31A5">
              <w:t>R$ 557,00</w:t>
            </w:r>
          </w:p>
        </w:tc>
        <w:tc>
          <w:tcPr>
            <w:tcW w:w="1558" w:type="dxa"/>
            <w:tcBorders>
              <w:top w:val="nil"/>
              <w:left w:val="nil"/>
              <w:bottom w:val="nil"/>
              <w:right w:val="nil"/>
            </w:tcBorders>
          </w:tcPr>
          <w:p w:rsidR="00EB31A5" w:rsidRPr="00EB31A5" w:rsidRDefault="00EB31A5" w:rsidP="0019680E">
            <w:pPr>
              <w:pStyle w:val="Default"/>
              <w:spacing w:before="120" w:line="360" w:lineRule="auto"/>
              <w:jc w:val="both"/>
            </w:pPr>
            <w:r w:rsidRPr="00EB31A5">
              <w:t>R$ 557,00</w:t>
            </w:r>
          </w:p>
        </w:tc>
      </w:tr>
      <w:tr w:rsidR="00EB31A5" w:rsidRPr="00EB31A5" w:rsidTr="00235A0B">
        <w:tc>
          <w:tcPr>
            <w:tcW w:w="1083" w:type="dxa"/>
            <w:tcBorders>
              <w:top w:val="nil"/>
              <w:left w:val="nil"/>
              <w:bottom w:val="nil"/>
              <w:right w:val="nil"/>
            </w:tcBorders>
            <w:shd w:val="clear" w:color="auto" w:fill="D0CECE" w:themeFill="background2" w:themeFillShade="E6"/>
          </w:tcPr>
          <w:p w:rsidR="00EB31A5" w:rsidRPr="00EB31A5" w:rsidRDefault="00EB31A5" w:rsidP="0019680E">
            <w:pPr>
              <w:jc w:val="both"/>
              <w:rPr>
                <w:rFonts w:cs="Arial"/>
                <w:szCs w:val="24"/>
              </w:rPr>
            </w:pPr>
            <w:r w:rsidRPr="00EB31A5">
              <w:rPr>
                <w:rFonts w:cs="Arial"/>
                <w:szCs w:val="24"/>
              </w:rPr>
              <w:t>01</w:t>
            </w:r>
          </w:p>
        </w:tc>
        <w:tc>
          <w:tcPr>
            <w:tcW w:w="3879" w:type="dxa"/>
            <w:tcBorders>
              <w:top w:val="nil"/>
              <w:left w:val="nil"/>
              <w:bottom w:val="nil"/>
              <w:right w:val="nil"/>
            </w:tcBorders>
            <w:shd w:val="clear" w:color="auto" w:fill="D0CECE" w:themeFill="background2" w:themeFillShade="E6"/>
          </w:tcPr>
          <w:p w:rsidR="00EB31A5" w:rsidRPr="00EB31A5" w:rsidRDefault="00EB31A5" w:rsidP="0019680E">
            <w:pPr>
              <w:jc w:val="both"/>
              <w:rPr>
                <w:rFonts w:cs="Arial"/>
                <w:szCs w:val="24"/>
              </w:rPr>
            </w:pPr>
            <w:r w:rsidRPr="00EB31A5">
              <w:rPr>
                <w:rFonts w:cs="Arial"/>
                <w:szCs w:val="24"/>
              </w:rPr>
              <w:t>Ponteiras de 1 até 200 µl (milheiro)</w:t>
            </w:r>
          </w:p>
        </w:tc>
        <w:tc>
          <w:tcPr>
            <w:tcW w:w="1984" w:type="dxa"/>
            <w:tcBorders>
              <w:top w:val="nil"/>
              <w:left w:val="nil"/>
              <w:bottom w:val="nil"/>
              <w:right w:val="nil"/>
            </w:tcBorders>
            <w:shd w:val="clear" w:color="auto" w:fill="D0CECE" w:themeFill="background2" w:themeFillShade="E6"/>
          </w:tcPr>
          <w:p w:rsidR="00EB31A5" w:rsidRPr="00EB31A5" w:rsidRDefault="00EB31A5" w:rsidP="0019680E">
            <w:pPr>
              <w:pStyle w:val="Default"/>
              <w:spacing w:before="120" w:line="360" w:lineRule="auto"/>
              <w:jc w:val="both"/>
            </w:pPr>
            <w:r w:rsidRPr="00EB31A5">
              <w:t>R$ 40,00</w:t>
            </w:r>
          </w:p>
        </w:tc>
        <w:tc>
          <w:tcPr>
            <w:tcW w:w="1558" w:type="dxa"/>
            <w:tcBorders>
              <w:top w:val="nil"/>
              <w:left w:val="nil"/>
              <w:bottom w:val="nil"/>
              <w:right w:val="nil"/>
            </w:tcBorders>
            <w:shd w:val="clear" w:color="auto" w:fill="D0CECE" w:themeFill="background2" w:themeFillShade="E6"/>
          </w:tcPr>
          <w:p w:rsidR="00EB31A5" w:rsidRPr="00EB31A5" w:rsidRDefault="00EB31A5" w:rsidP="0019680E">
            <w:pPr>
              <w:pStyle w:val="Default"/>
              <w:spacing w:before="120" w:line="360" w:lineRule="auto"/>
              <w:jc w:val="both"/>
            </w:pPr>
            <w:r w:rsidRPr="00EB31A5">
              <w:t>R$ 40,00</w:t>
            </w:r>
          </w:p>
        </w:tc>
      </w:tr>
      <w:tr w:rsidR="00EB31A5" w:rsidRPr="00EB31A5" w:rsidTr="00235A0B">
        <w:tc>
          <w:tcPr>
            <w:tcW w:w="1083" w:type="dxa"/>
            <w:tcBorders>
              <w:top w:val="nil"/>
              <w:left w:val="nil"/>
              <w:bottom w:val="nil"/>
              <w:right w:val="nil"/>
            </w:tcBorders>
          </w:tcPr>
          <w:p w:rsidR="00EB31A5" w:rsidRPr="00EB31A5" w:rsidRDefault="00EB31A5" w:rsidP="0019680E">
            <w:pPr>
              <w:jc w:val="both"/>
              <w:rPr>
                <w:rFonts w:cs="Arial"/>
                <w:szCs w:val="24"/>
              </w:rPr>
            </w:pPr>
            <w:r w:rsidRPr="00EB31A5">
              <w:rPr>
                <w:rFonts w:cs="Arial"/>
                <w:szCs w:val="24"/>
              </w:rPr>
              <w:t>01</w:t>
            </w:r>
          </w:p>
        </w:tc>
        <w:tc>
          <w:tcPr>
            <w:tcW w:w="3879" w:type="dxa"/>
            <w:tcBorders>
              <w:top w:val="nil"/>
              <w:left w:val="nil"/>
              <w:bottom w:val="nil"/>
              <w:right w:val="nil"/>
            </w:tcBorders>
          </w:tcPr>
          <w:p w:rsidR="00EB31A5" w:rsidRPr="00EB31A5" w:rsidRDefault="00EB31A5" w:rsidP="0019680E">
            <w:pPr>
              <w:jc w:val="both"/>
              <w:rPr>
                <w:rFonts w:cs="Arial"/>
                <w:szCs w:val="24"/>
              </w:rPr>
            </w:pPr>
            <w:r w:rsidRPr="00EB31A5">
              <w:rPr>
                <w:rFonts w:cs="Arial"/>
                <w:szCs w:val="24"/>
              </w:rPr>
              <w:t>Ponteiras de 0,5 até 1 ml (milheiro)</w:t>
            </w:r>
          </w:p>
        </w:tc>
        <w:tc>
          <w:tcPr>
            <w:tcW w:w="1984" w:type="dxa"/>
            <w:tcBorders>
              <w:top w:val="nil"/>
              <w:left w:val="nil"/>
              <w:bottom w:val="nil"/>
              <w:right w:val="nil"/>
            </w:tcBorders>
          </w:tcPr>
          <w:p w:rsidR="00EB31A5" w:rsidRPr="00EB31A5" w:rsidRDefault="00EB31A5" w:rsidP="0019680E">
            <w:pPr>
              <w:pStyle w:val="Default"/>
              <w:spacing w:before="120" w:line="360" w:lineRule="auto"/>
              <w:jc w:val="both"/>
            </w:pPr>
            <w:r w:rsidRPr="00EB31A5">
              <w:t>R$ 40,00</w:t>
            </w:r>
          </w:p>
        </w:tc>
        <w:tc>
          <w:tcPr>
            <w:tcW w:w="1558" w:type="dxa"/>
            <w:tcBorders>
              <w:top w:val="nil"/>
              <w:left w:val="nil"/>
              <w:bottom w:val="nil"/>
              <w:right w:val="nil"/>
            </w:tcBorders>
          </w:tcPr>
          <w:p w:rsidR="00EB31A5" w:rsidRPr="00EB31A5" w:rsidRDefault="00EB31A5" w:rsidP="0019680E">
            <w:pPr>
              <w:pStyle w:val="Default"/>
              <w:spacing w:before="120" w:line="360" w:lineRule="auto"/>
              <w:jc w:val="both"/>
            </w:pPr>
            <w:r w:rsidRPr="00EB31A5">
              <w:t>R$ 40,00</w:t>
            </w:r>
          </w:p>
        </w:tc>
      </w:tr>
      <w:tr w:rsidR="00EB31A5" w:rsidRPr="00EB31A5" w:rsidTr="00235A0B">
        <w:tc>
          <w:tcPr>
            <w:tcW w:w="1083" w:type="dxa"/>
            <w:tcBorders>
              <w:top w:val="nil"/>
              <w:left w:val="nil"/>
              <w:bottom w:val="nil"/>
              <w:right w:val="nil"/>
            </w:tcBorders>
            <w:shd w:val="clear" w:color="auto" w:fill="D0CECE" w:themeFill="background2" w:themeFillShade="E6"/>
          </w:tcPr>
          <w:p w:rsidR="00EB31A5" w:rsidRPr="00EB31A5" w:rsidRDefault="00EB31A5" w:rsidP="0019680E">
            <w:pPr>
              <w:jc w:val="both"/>
              <w:rPr>
                <w:rFonts w:cs="Arial"/>
                <w:szCs w:val="24"/>
              </w:rPr>
            </w:pPr>
            <w:r w:rsidRPr="00EB31A5">
              <w:rPr>
                <w:rFonts w:cs="Arial"/>
                <w:szCs w:val="24"/>
              </w:rPr>
              <w:t>44</w:t>
            </w:r>
          </w:p>
        </w:tc>
        <w:tc>
          <w:tcPr>
            <w:tcW w:w="3879" w:type="dxa"/>
            <w:tcBorders>
              <w:top w:val="nil"/>
              <w:left w:val="nil"/>
              <w:bottom w:val="nil"/>
              <w:right w:val="nil"/>
            </w:tcBorders>
            <w:shd w:val="clear" w:color="auto" w:fill="D0CECE" w:themeFill="background2" w:themeFillShade="E6"/>
          </w:tcPr>
          <w:p w:rsidR="00EB31A5" w:rsidRPr="00EB31A5" w:rsidRDefault="00EB31A5" w:rsidP="0019680E">
            <w:pPr>
              <w:jc w:val="both"/>
              <w:rPr>
                <w:rFonts w:cs="Arial"/>
                <w:szCs w:val="24"/>
              </w:rPr>
            </w:pPr>
            <w:r w:rsidRPr="00EB31A5">
              <w:rPr>
                <w:rFonts w:cs="Arial"/>
                <w:szCs w:val="24"/>
              </w:rPr>
              <w:t>Seringa (1 ml)</w:t>
            </w:r>
          </w:p>
        </w:tc>
        <w:tc>
          <w:tcPr>
            <w:tcW w:w="1984" w:type="dxa"/>
            <w:tcBorders>
              <w:top w:val="nil"/>
              <w:left w:val="nil"/>
              <w:bottom w:val="nil"/>
              <w:right w:val="nil"/>
            </w:tcBorders>
            <w:shd w:val="clear" w:color="auto" w:fill="D0CECE" w:themeFill="background2" w:themeFillShade="E6"/>
          </w:tcPr>
          <w:p w:rsidR="00EB31A5" w:rsidRPr="00EB31A5" w:rsidRDefault="00EB31A5" w:rsidP="0019680E">
            <w:pPr>
              <w:pStyle w:val="Default"/>
              <w:spacing w:before="120" w:line="360" w:lineRule="auto"/>
              <w:jc w:val="both"/>
            </w:pPr>
            <w:r w:rsidRPr="00EB31A5">
              <w:t>R$ 0,50</w:t>
            </w:r>
          </w:p>
        </w:tc>
        <w:tc>
          <w:tcPr>
            <w:tcW w:w="1558" w:type="dxa"/>
            <w:tcBorders>
              <w:top w:val="nil"/>
              <w:left w:val="nil"/>
              <w:bottom w:val="nil"/>
              <w:right w:val="nil"/>
            </w:tcBorders>
            <w:shd w:val="clear" w:color="auto" w:fill="D0CECE" w:themeFill="background2" w:themeFillShade="E6"/>
          </w:tcPr>
          <w:p w:rsidR="00EB31A5" w:rsidRPr="00EB31A5" w:rsidRDefault="00EB31A5" w:rsidP="0019680E">
            <w:pPr>
              <w:pStyle w:val="Default"/>
              <w:spacing w:before="120" w:line="360" w:lineRule="auto"/>
              <w:jc w:val="both"/>
            </w:pPr>
            <w:r w:rsidRPr="00EB31A5">
              <w:t>R$ 22,00</w:t>
            </w:r>
          </w:p>
        </w:tc>
      </w:tr>
      <w:tr w:rsidR="00EB31A5" w:rsidRPr="00EB31A5" w:rsidTr="00235A0B">
        <w:tc>
          <w:tcPr>
            <w:tcW w:w="1083" w:type="dxa"/>
            <w:tcBorders>
              <w:top w:val="nil"/>
              <w:left w:val="nil"/>
              <w:bottom w:val="nil"/>
              <w:right w:val="nil"/>
            </w:tcBorders>
          </w:tcPr>
          <w:p w:rsidR="00EB31A5" w:rsidRPr="00EB31A5" w:rsidRDefault="00EB31A5" w:rsidP="0019680E">
            <w:pPr>
              <w:jc w:val="both"/>
              <w:rPr>
                <w:rFonts w:cs="Arial"/>
                <w:szCs w:val="24"/>
              </w:rPr>
            </w:pPr>
            <w:r w:rsidRPr="00EB31A5">
              <w:rPr>
                <w:rFonts w:cs="Arial"/>
                <w:szCs w:val="24"/>
              </w:rPr>
              <w:t>50</w:t>
            </w:r>
          </w:p>
        </w:tc>
        <w:tc>
          <w:tcPr>
            <w:tcW w:w="3879" w:type="dxa"/>
            <w:tcBorders>
              <w:top w:val="nil"/>
              <w:left w:val="nil"/>
              <w:bottom w:val="nil"/>
              <w:right w:val="nil"/>
            </w:tcBorders>
          </w:tcPr>
          <w:p w:rsidR="00EB31A5" w:rsidRPr="00EB31A5" w:rsidRDefault="00EB31A5" w:rsidP="0019680E">
            <w:pPr>
              <w:jc w:val="both"/>
              <w:rPr>
                <w:rFonts w:cs="Arial"/>
                <w:szCs w:val="24"/>
              </w:rPr>
            </w:pPr>
            <w:r w:rsidRPr="00EB31A5">
              <w:rPr>
                <w:rFonts w:cs="Arial"/>
                <w:szCs w:val="24"/>
              </w:rPr>
              <w:t>Seringa (5 ml)</w:t>
            </w:r>
          </w:p>
        </w:tc>
        <w:tc>
          <w:tcPr>
            <w:tcW w:w="1984" w:type="dxa"/>
            <w:tcBorders>
              <w:top w:val="nil"/>
              <w:left w:val="nil"/>
              <w:bottom w:val="nil"/>
              <w:right w:val="nil"/>
            </w:tcBorders>
          </w:tcPr>
          <w:p w:rsidR="00EB31A5" w:rsidRPr="00EB31A5" w:rsidRDefault="00EB31A5" w:rsidP="0019680E">
            <w:pPr>
              <w:pStyle w:val="Default"/>
              <w:spacing w:before="120" w:line="360" w:lineRule="auto"/>
              <w:jc w:val="both"/>
            </w:pPr>
            <w:r w:rsidRPr="00EB31A5">
              <w:t>R$ 0,40</w:t>
            </w:r>
          </w:p>
        </w:tc>
        <w:tc>
          <w:tcPr>
            <w:tcW w:w="1558" w:type="dxa"/>
            <w:tcBorders>
              <w:top w:val="nil"/>
              <w:left w:val="nil"/>
              <w:bottom w:val="nil"/>
              <w:right w:val="nil"/>
            </w:tcBorders>
          </w:tcPr>
          <w:p w:rsidR="00EB31A5" w:rsidRPr="00EB31A5" w:rsidRDefault="00EB31A5" w:rsidP="0019680E">
            <w:pPr>
              <w:pStyle w:val="Default"/>
              <w:spacing w:before="120" w:line="360" w:lineRule="auto"/>
              <w:jc w:val="both"/>
            </w:pPr>
            <w:r w:rsidRPr="00EB31A5">
              <w:t>R$ 20,00</w:t>
            </w:r>
          </w:p>
        </w:tc>
      </w:tr>
      <w:tr w:rsidR="00EB31A5" w:rsidRPr="00EB31A5" w:rsidTr="00235A0B">
        <w:tc>
          <w:tcPr>
            <w:tcW w:w="1083" w:type="dxa"/>
            <w:tcBorders>
              <w:top w:val="nil"/>
              <w:left w:val="nil"/>
              <w:bottom w:val="nil"/>
              <w:right w:val="nil"/>
            </w:tcBorders>
            <w:shd w:val="clear" w:color="auto" w:fill="D0CECE" w:themeFill="background2" w:themeFillShade="E6"/>
          </w:tcPr>
          <w:p w:rsidR="00EB31A5" w:rsidRPr="00EB31A5" w:rsidRDefault="00EB31A5" w:rsidP="0019680E">
            <w:pPr>
              <w:jc w:val="both"/>
              <w:rPr>
                <w:rFonts w:cs="Arial"/>
                <w:szCs w:val="24"/>
              </w:rPr>
            </w:pPr>
            <w:r w:rsidRPr="00EB31A5">
              <w:rPr>
                <w:rFonts w:cs="Arial"/>
                <w:szCs w:val="24"/>
              </w:rPr>
              <w:t>01</w:t>
            </w:r>
          </w:p>
        </w:tc>
        <w:tc>
          <w:tcPr>
            <w:tcW w:w="3879" w:type="dxa"/>
            <w:tcBorders>
              <w:top w:val="nil"/>
              <w:left w:val="nil"/>
              <w:bottom w:val="nil"/>
              <w:right w:val="nil"/>
            </w:tcBorders>
            <w:shd w:val="clear" w:color="auto" w:fill="D0CECE" w:themeFill="background2" w:themeFillShade="E6"/>
          </w:tcPr>
          <w:p w:rsidR="00EB31A5" w:rsidRPr="00EB31A5" w:rsidRDefault="00EB31A5" w:rsidP="0019680E">
            <w:pPr>
              <w:jc w:val="both"/>
              <w:rPr>
                <w:rFonts w:cs="Arial"/>
                <w:szCs w:val="24"/>
              </w:rPr>
            </w:pPr>
            <w:proofErr w:type="spellStart"/>
            <w:r w:rsidRPr="00EB31A5">
              <w:rPr>
                <w:rFonts w:cs="Arial"/>
                <w:szCs w:val="24"/>
              </w:rPr>
              <w:t>Eppendorf</w:t>
            </w:r>
            <w:proofErr w:type="spellEnd"/>
            <w:r w:rsidRPr="00EB31A5">
              <w:rPr>
                <w:rFonts w:cs="Arial"/>
                <w:szCs w:val="24"/>
              </w:rPr>
              <w:t xml:space="preserve"> (milheiro)</w:t>
            </w:r>
          </w:p>
        </w:tc>
        <w:tc>
          <w:tcPr>
            <w:tcW w:w="1984" w:type="dxa"/>
            <w:tcBorders>
              <w:top w:val="nil"/>
              <w:left w:val="nil"/>
              <w:bottom w:val="nil"/>
              <w:right w:val="nil"/>
            </w:tcBorders>
            <w:shd w:val="clear" w:color="auto" w:fill="D0CECE" w:themeFill="background2" w:themeFillShade="E6"/>
          </w:tcPr>
          <w:p w:rsidR="00EB31A5" w:rsidRPr="00EB31A5" w:rsidRDefault="00EB31A5" w:rsidP="0019680E">
            <w:pPr>
              <w:pStyle w:val="Default"/>
              <w:spacing w:before="120" w:line="360" w:lineRule="auto"/>
              <w:jc w:val="both"/>
            </w:pPr>
            <w:r w:rsidRPr="00EB31A5">
              <w:t>R$ 58,00</w:t>
            </w:r>
          </w:p>
        </w:tc>
        <w:tc>
          <w:tcPr>
            <w:tcW w:w="1558" w:type="dxa"/>
            <w:tcBorders>
              <w:top w:val="nil"/>
              <w:left w:val="nil"/>
              <w:bottom w:val="nil"/>
              <w:right w:val="nil"/>
            </w:tcBorders>
            <w:shd w:val="clear" w:color="auto" w:fill="D0CECE" w:themeFill="background2" w:themeFillShade="E6"/>
          </w:tcPr>
          <w:p w:rsidR="00EB31A5" w:rsidRPr="00EB31A5" w:rsidRDefault="00EB31A5" w:rsidP="0019680E">
            <w:pPr>
              <w:pStyle w:val="Default"/>
              <w:spacing w:before="120" w:line="360" w:lineRule="auto"/>
              <w:jc w:val="both"/>
            </w:pPr>
            <w:r w:rsidRPr="00EB31A5">
              <w:t>R$ 58,00</w:t>
            </w:r>
          </w:p>
        </w:tc>
      </w:tr>
      <w:tr w:rsidR="00EB31A5" w:rsidRPr="00EB31A5" w:rsidTr="00235A0B">
        <w:tc>
          <w:tcPr>
            <w:tcW w:w="1083" w:type="dxa"/>
            <w:tcBorders>
              <w:top w:val="nil"/>
              <w:left w:val="nil"/>
              <w:bottom w:val="nil"/>
              <w:right w:val="nil"/>
            </w:tcBorders>
          </w:tcPr>
          <w:p w:rsidR="00EB31A5" w:rsidRPr="00EB31A5" w:rsidRDefault="00EB31A5" w:rsidP="0019680E">
            <w:pPr>
              <w:jc w:val="both"/>
              <w:rPr>
                <w:rFonts w:cs="Arial"/>
                <w:szCs w:val="24"/>
              </w:rPr>
            </w:pPr>
            <w:r w:rsidRPr="00EB31A5">
              <w:rPr>
                <w:rFonts w:cs="Arial"/>
                <w:szCs w:val="24"/>
              </w:rPr>
              <w:t>-</w:t>
            </w:r>
          </w:p>
        </w:tc>
        <w:tc>
          <w:tcPr>
            <w:tcW w:w="3879" w:type="dxa"/>
            <w:tcBorders>
              <w:top w:val="nil"/>
              <w:left w:val="nil"/>
              <w:bottom w:val="nil"/>
              <w:right w:val="nil"/>
            </w:tcBorders>
          </w:tcPr>
          <w:p w:rsidR="00EB31A5" w:rsidRPr="00EB31A5" w:rsidRDefault="00EB31A5" w:rsidP="0019680E">
            <w:pPr>
              <w:jc w:val="both"/>
              <w:rPr>
                <w:rFonts w:cs="Arial"/>
                <w:szCs w:val="24"/>
              </w:rPr>
            </w:pPr>
            <w:r w:rsidRPr="00EB31A5">
              <w:rPr>
                <w:rFonts w:cs="Arial"/>
                <w:szCs w:val="24"/>
              </w:rPr>
              <w:t>Vidraria variada (Becker, balões volumétricos, pipetas, lâminas, lamínulas, etc.)</w:t>
            </w:r>
          </w:p>
        </w:tc>
        <w:tc>
          <w:tcPr>
            <w:tcW w:w="1984" w:type="dxa"/>
            <w:tcBorders>
              <w:top w:val="nil"/>
              <w:left w:val="nil"/>
              <w:bottom w:val="nil"/>
              <w:right w:val="nil"/>
            </w:tcBorders>
          </w:tcPr>
          <w:p w:rsidR="00EB31A5" w:rsidRPr="00EB31A5" w:rsidRDefault="00EB31A5" w:rsidP="0019680E">
            <w:pPr>
              <w:pStyle w:val="Default"/>
              <w:spacing w:before="120" w:line="360" w:lineRule="auto"/>
              <w:jc w:val="both"/>
            </w:pPr>
            <w:r w:rsidRPr="00EB31A5">
              <w:t>R$ 420,00</w:t>
            </w:r>
          </w:p>
        </w:tc>
        <w:tc>
          <w:tcPr>
            <w:tcW w:w="1558" w:type="dxa"/>
            <w:tcBorders>
              <w:top w:val="nil"/>
              <w:left w:val="nil"/>
              <w:bottom w:val="nil"/>
              <w:right w:val="nil"/>
            </w:tcBorders>
          </w:tcPr>
          <w:p w:rsidR="00EB31A5" w:rsidRPr="00EB31A5" w:rsidRDefault="00EB31A5" w:rsidP="0019680E">
            <w:pPr>
              <w:pStyle w:val="Default"/>
              <w:spacing w:before="120" w:line="360" w:lineRule="auto"/>
              <w:jc w:val="both"/>
            </w:pPr>
            <w:r w:rsidRPr="00EB31A5">
              <w:t>R$ 420,00</w:t>
            </w:r>
          </w:p>
        </w:tc>
      </w:tr>
      <w:tr w:rsidR="00EB31A5" w:rsidRPr="00EB31A5" w:rsidTr="00235A0B">
        <w:tc>
          <w:tcPr>
            <w:tcW w:w="1083" w:type="dxa"/>
            <w:tcBorders>
              <w:top w:val="nil"/>
              <w:left w:val="nil"/>
              <w:bottom w:val="nil"/>
              <w:right w:val="nil"/>
            </w:tcBorders>
            <w:shd w:val="clear" w:color="auto" w:fill="D0CECE" w:themeFill="background2" w:themeFillShade="E6"/>
          </w:tcPr>
          <w:p w:rsidR="00EB31A5" w:rsidRPr="00EB31A5" w:rsidRDefault="00EB31A5" w:rsidP="0019680E">
            <w:pPr>
              <w:jc w:val="both"/>
              <w:rPr>
                <w:rFonts w:cs="Arial"/>
                <w:szCs w:val="24"/>
              </w:rPr>
            </w:pPr>
            <w:r w:rsidRPr="00EB31A5">
              <w:rPr>
                <w:rFonts w:cs="Arial"/>
                <w:szCs w:val="24"/>
              </w:rPr>
              <w:t>-</w:t>
            </w:r>
          </w:p>
        </w:tc>
        <w:tc>
          <w:tcPr>
            <w:tcW w:w="3879" w:type="dxa"/>
            <w:tcBorders>
              <w:top w:val="nil"/>
              <w:left w:val="nil"/>
              <w:bottom w:val="nil"/>
              <w:right w:val="nil"/>
            </w:tcBorders>
            <w:shd w:val="clear" w:color="auto" w:fill="D0CECE" w:themeFill="background2" w:themeFillShade="E6"/>
          </w:tcPr>
          <w:p w:rsidR="00EB31A5" w:rsidRPr="00EB31A5" w:rsidRDefault="00EB31A5" w:rsidP="0019680E">
            <w:pPr>
              <w:jc w:val="both"/>
              <w:rPr>
                <w:rFonts w:cs="Arial"/>
                <w:szCs w:val="24"/>
              </w:rPr>
            </w:pPr>
            <w:r w:rsidRPr="00EB31A5">
              <w:rPr>
                <w:rFonts w:cs="Arial"/>
                <w:szCs w:val="24"/>
              </w:rPr>
              <w:t>Fármacos e reagentes</w:t>
            </w:r>
          </w:p>
        </w:tc>
        <w:tc>
          <w:tcPr>
            <w:tcW w:w="1984" w:type="dxa"/>
            <w:tcBorders>
              <w:top w:val="nil"/>
              <w:left w:val="nil"/>
              <w:bottom w:val="nil"/>
              <w:right w:val="nil"/>
            </w:tcBorders>
            <w:shd w:val="clear" w:color="auto" w:fill="D0CECE" w:themeFill="background2" w:themeFillShade="E6"/>
          </w:tcPr>
          <w:p w:rsidR="00EB31A5" w:rsidRPr="00EB31A5" w:rsidRDefault="00EB31A5" w:rsidP="0019680E">
            <w:pPr>
              <w:pStyle w:val="Default"/>
              <w:spacing w:before="120" w:line="360" w:lineRule="auto"/>
              <w:jc w:val="both"/>
            </w:pPr>
            <w:r w:rsidRPr="00EB31A5">
              <w:t>R$ 1.000,00</w:t>
            </w:r>
          </w:p>
        </w:tc>
        <w:tc>
          <w:tcPr>
            <w:tcW w:w="1558" w:type="dxa"/>
            <w:tcBorders>
              <w:top w:val="nil"/>
              <w:left w:val="nil"/>
              <w:bottom w:val="nil"/>
              <w:right w:val="nil"/>
            </w:tcBorders>
            <w:shd w:val="clear" w:color="auto" w:fill="D0CECE" w:themeFill="background2" w:themeFillShade="E6"/>
          </w:tcPr>
          <w:p w:rsidR="00EB31A5" w:rsidRPr="00EB31A5" w:rsidRDefault="00EB31A5" w:rsidP="0019680E">
            <w:pPr>
              <w:pStyle w:val="Default"/>
              <w:spacing w:before="120" w:line="360" w:lineRule="auto"/>
              <w:jc w:val="both"/>
            </w:pPr>
            <w:r w:rsidRPr="00EB31A5">
              <w:t>R$ 1.000,00</w:t>
            </w:r>
          </w:p>
        </w:tc>
      </w:tr>
      <w:tr w:rsidR="00EB31A5" w:rsidRPr="00EB31A5" w:rsidTr="00235A0B">
        <w:tc>
          <w:tcPr>
            <w:tcW w:w="1083" w:type="dxa"/>
            <w:tcBorders>
              <w:top w:val="nil"/>
              <w:left w:val="nil"/>
              <w:bottom w:val="nil"/>
              <w:right w:val="nil"/>
            </w:tcBorders>
          </w:tcPr>
          <w:p w:rsidR="00EB31A5" w:rsidRPr="00EB31A5" w:rsidRDefault="00EB31A5" w:rsidP="0019680E">
            <w:pPr>
              <w:jc w:val="both"/>
              <w:rPr>
                <w:rFonts w:cs="Arial"/>
                <w:szCs w:val="24"/>
              </w:rPr>
            </w:pPr>
            <w:r w:rsidRPr="00EB31A5">
              <w:rPr>
                <w:rFonts w:cs="Arial"/>
                <w:szCs w:val="24"/>
              </w:rPr>
              <w:t>-</w:t>
            </w:r>
          </w:p>
        </w:tc>
        <w:tc>
          <w:tcPr>
            <w:tcW w:w="3879" w:type="dxa"/>
            <w:tcBorders>
              <w:top w:val="nil"/>
              <w:left w:val="nil"/>
              <w:bottom w:val="nil"/>
              <w:right w:val="nil"/>
            </w:tcBorders>
          </w:tcPr>
          <w:p w:rsidR="00EB31A5" w:rsidRPr="00EB31A5" w:rsidRDefault="00EB31A5" w:rsidP="0019680E">
            <w:pPr>
              <w:jc w:val="both"/>
              <w:rPr>
                <w:rFonts w:cs="Arial"/>
                <w:szCs w:val="24"/>
              </w:rPr>
            </w:pPr>
            <w:r w:rsidRPr="00EB31A5">
              <w:rPr>
                <w:rFonts w:cs="Arial"/>
                <w:szCs w:val="24"/>
              </w:rPr>
              <w:t>Material cirúrgico diverso</w:t>
            </w:r>
          </w:p>
        </w:tc>
        <w:tc>
          <w:tcPr>
            <w:tcW w:w="1984" w:type="dxa"/>
            <w:tcBorders>
              <w:top w:val="nil"/>
              <w:left w:val="nil"/>
              <w:bottom w:val="nil"/>
              <w:right w:val="nil"/>
            </w:tcBorders>
          </w:tcPr>
          <w:p w:rsidR="00EB31A5" w:rsidRPr="00EB31A5" w:rsidRDefault="00EB31A5" w:rsidP="0019680E">
            <w:pPr>
              <w:pStyle w:val="Default"/>
              <w:spacing w:before="120" w:line="360" w:lineRule="auto"/>
              <w:jc w:val="both"/>
            </w:pPr>
            <w:r w:rsidRPr="00EB31A5">
              <w:t>R$ 300,00</w:t>
            </w:r>
          </w:p>
        </w:tc>
        <w:tc>
          <w:tcPr>
            <w:tcW w:w="1558" w:type="dxa"/>
            <w:tcBorders>
              <w:top w:val="nil"/>
              <w:left w:val="nil"/>
              <w:bottom w:val="nil"/>
              <w:right w:val="nil"/>
            </w:tcBorders>
          </w:tcPr>
          <w:p w:rsidR="00EB31A5" w:rsidRPr="00EB31A5" w:rsidRDefault="00EB31A5" w:rsidP="0019680E">
            <w:pPr>
              <w:pStyle w:val="Default"/>
              <w:spacing w:before="120" w:line="360" w:lineRule="auto"/>
              <w:jc w:val="both"/>
            </w:pPr>
            <w:r w:rsidRPr="00EB31A5">
              <w:t>R$ 300,00</w:t>
            </w:r>
          </w:p>
        </w:tc>
      </w:tr>
      <w:tr w:rsidR="00EB31A5" w:rsidRPr="00EB31A5" w:rsidTr="00235A0B">
        <w:tc>
          <w:tcPr>
            <w:tcW w:w="1083" w:type="dxa"/>
            <w:tcBorders>
              <w:top w:val="nil"/>
              <w:left w:val="nil"/>
              <w:bottom w:val="nil"/>
              <w:right w:val="nil"/>
            </w:tcBorders>
            <w:shd w:val="clear" w:color="auto" w:fill="D0CECE" w:themeFill="background2" w:themeFillShade="E6"/>
          </w:tcPr>
          <w:p w:rsidR="00EB31A5" w:rsidRPr="00EB31A5" w:rsidRDefault="00EB31A5" w:rsidP="0019680E">
            <w:pPr>
              <w:jc w:val="both"/>
              <w:rPr>
                <w:rFonts w:cs="Arial"/>
                <w:szCs w:val="24"/>
              </w:rPr>
            </w:pPr>
            <w:r w:rsidRPr="00EB31A5">
              <w:rPr>
                <w:rFonts w:cs="Arial"/>
                <w:b/>
                <w:szCs w:val="24"/>
              </w:rPr>
              <w:t>Total</w:t>
            </w:r>
          </w:p>
        </w:tc>
        <w:tc>
          <w:tcPr>
            <w:tcW w:w="3879" w:type="dxa"/>
            <w:tcBorders>
              <w:top w:val="nil"/>
              <w:left w:val="nil"/>
              <w:bottom w:val="nil"/>
              <w:right w:val="nil"/>
            </w:tcBorders>
            <w:shd w:val="clear" w:color="auto" w:fill="D0CECE" w:themeFill="background2" w:themeFillShade="E6"/>
          </w:tcPr>
          <w:p w:rsidR="00EB31A5" w:rsidRPr="00EB31A5" w:rsidRDefault="00EB31A5" w:rsidP="0019680E">
            <w:pPr>
              <w:jc w:val="both"/>
              <w:rPr>
                <w:rFonts w:cs="Arial"/>
                <w:szCs w:val="24"/>
              </w:rPr>
            </w:pPr>
          </w:p>
        </w:tc>
        <w:tc>
          <w:tcPr>
            <w:tcW w:w="1984" w:type="dxa"/>
            <w:tcBorders>
              <w:top w:val="nil"/>
              <w:left w:val="nil"/>
              <w:bottom w:val="nil"/>
              <w:right w:val="nil"/>
            </w:tcBorders>
            <w:shd w:val="clear" w:color="auto" w:fill="D0CECE" w:themeFill="background2" w:themeFillShade="E6"/>
          </w:tcPr>
          <w:p w:rsidR="00EB31A5" w:rsidRPr="00EB31A5" w:rsidRDefault="00EB31A5" w:rsidP="0019680E">
            <w:pPr>
              <w:pStyle w:val="Default"/>
              <w:spacing w:before="120" w:line="360" w:lineRule="auto"/>
              <w:jc w:val="both"/>
            </w:pPr>
          </w:p>
        </w:tc>
        <w:tc>
          <w:tcPr>
            <w:tcW w:w="1558" w:type="dxa"/>
            <w:tcBorders>
              <w:top w:val="nil"/>
              <w:left w:val="nil"/>
              <w:bottom w:val="nil"/>
              <w:right w:val="nil"/>
            </w:tcBorders>
            <w:shd w:val="clear" w:color="auto" w:fill="D0CECE" w:themeFill="background2" w:themeFillShade="E6"/>
          </w:tcPr>
          <w:p w:rsidR="00EB31A5" w:rsidRPr="00EB31A5" w:rsidRDefault="00EB31A5" w:rsidP="0019680E">
            <w:pPr>
              <w:pStyle w:val="Default"/>
              <w:spacing w:before="120" w:line="360" w:lineRule="auto"/>
              <w:jc w:val="both"/>
            </w:pPr>
            <w:r w:rsidRPr="00EB31A5">
              <w:t>R$ 14.457,00</w:t>
            </w:r>
          </w:p>
        </w:tc>
      </w:tr>
    </w:tbl>
    <w:p w:rsidR="00EB31A5" w:rsidRPr="00EB31A5" w:rsidRDefault="00EB31A5" w:rsidP="0019680E">
      <w:pPr>
        <w:jc w:val="both"/>
        <w:rPr>
          <w:rFonts w:cs="Arial"/>
          <w:szCs w:val="24"/>
        </w:rPr>
      </w:pPr>
    </w:p>
    <w:p w:rsidR="00EB31A5" w:rsidRPr="00EB31A5" w:rsidRDefault="00EB31A5" w:rsidP="0019680E">
      <w:pPr>
        <w:jc w:val="both"/>
        <w:rPr>
          <w:rFonts w:cs="Arial"/>
          <w:szCs w:val="24"/>
        </w:rPr>
      </w:pPr>
    </w:p>
    <w:p w:rsidR="00EB31A5" w:rsidRPr="00EB31A5" w:rsidRDefault="00EB31A5" w:rsidP="0019680E">
      <w:pPr>
        <w:pStyle w:val="Ttulo1"/>
        <w:spacing w:before="120"/>
        <w:jc w:val="both"/>
      </w:pPr>
    </w:p>
    <w:p w:rsidR="00B86061" w:rsidRDefault="00B86061" w:rsidP="0019680E">
      <w:pPr>
        <w:spacing w:after="160"/>
        <w:jc w:val="both"/>
        <w:rPr>
          <w:rFonts w:eastAsiaTheme="majorEastAsia" w:cstheme="majorBidi"/>
          <w:b/>
          <w:szCs w:val="32"/>
        </w:rPr>
      </w:pPr>
      <w:r>
        <w:br w:type="page"/>
      </w:r>
    </w:p>
    <w:p w:rsidR="00277E9E" w:rsidRPr="00277E9E" w:rsidRDefault="00277E9E" w:rsidP="00277E9E">
      <w:pPr>
        <w:pStyle w:val="Ttulo1"/>
        <w:spacing w:line="240" w:lineRule="auto"/>
        <w:rPr>
          <w:rFonts w:cs="Arial"/>
          <w:szCs w:val="24"/>
        </w:rPr>
      </w:pPr>
      <w:bookmarkStart w:id="47" w:name="_Toc6503292"/>
      <w:bookmarkStart w:id="48" w:name="_Toc6842234"/>
      <w:r w:rsidRPr="00277E9E">
        <w:rPr>
          <w:rFonts w:cs="Arial"/>
          <w:szCs w:val="24"/>
        </w:rPr>
        <w:lastRenderedPageBreak/>
        <w:t>REFERÊNCIAS</w:t>
      </w:r>
      <w:bookmarkEnd w:id="47"/>
      <w:bookmarkEnd w:id="48"/>
    </w:p>
    <w:p w:rsidR="00277E9E" w:rsidRPr="00277E9E" w:rsidRDefault="00277E9E" w:rsidP="00277E9E">
      <w:pPr>
        <w:spacing w:after="240" w:line="240" w:lineRule="auto"/>
        <w:rPr>
          <w:rFonts w:eastAsia="Arial" w:cs="Arial"/>
          <w:szCs w:val="24"/>
        </w:rPr>
      </w:pPr>
      <w:r w:rsidRPr="003D66F2">
        <w:rPr>
          <w:rFonts w:eastAsia="Arial" w:cs="Arial"/>
          <w:szCs w:val="24"/>
          <w:lang w:val="en-US"/>
        </w:rPr>
        <w:t xml:space="preserve">ABAD, M. J.; ANSUATEGUI, M.; BERMEJO, P. Active antifungal substances from natural source. </w:t>
      </w:r>
      <w:r w:rsidRPr="00277E9E">
        <w:rPr>
          <w:rFonts w:eastAsia="Arial" w:cs="Arial"/>
          <w:b/>
          <w:szCs w:val="24"/>
        </w:rPr>
        <w:t>ARKIVOC</w:t>
      </w:r>
      <w:r w:rsidRPr="00277E9E">
        <w:rPr>
          <w:rFonts w:eastAsia="Arial" w:cs="Arial"/>
          <w:szCs w:val="24"/>
        </w:rPr>
        <w:t>, v. 2007, n. 7, p.116-145, 2007.</w:t>
      </w:r>
    </w:p>
    <w:p w:rsidR="00277E9E" w:rsidRPr="00277E9E" w:rsidRDefault="00277E9E" w:rsidP="00277E9E">
      <w:pPr>
        <w:spacing w:after="240" w:line="240" w:lineRule="auto"/>
        <w:rPr>
          <w:rFonts w:eastAsia="Arial" w:cs="Arial"/>
          <w:szCs w:val="24"/>
        </w:rPr>
      </w:pPr>
      <w:r w:rsidRPr="00277E9E">
        <w:rPr>
          <w:rFonts w:eastAsia="Arial" w:cs="Arial"/>
          <w:szCs w:val="24"/>
        </w:rPr>
        <w:t xml:space="preserve">ALBA, J. </w:t>
      </w:r>
      <w:proofErr w:type="spellStart"/>
      <w:r w:rsidRPr="00277E9E">
        <w:rPr>
          <w:rFonts w:eastAsia="Arial" w:cs="Arial"/>
          <w:szCs w:val="24"/>
        </w:rPr>
        <w:t>Elaboración</w:t>
      </w:r>
      <w:proofErr w:type="spellEnd"/>
      <w:r w:rsidRPr="00277E9E">
        <w:rPr>
          <w:rFonts w:eastAsia="Arial" w:cs="Arial"/>
          <w:szCs w:val="24"/>
        </w:rPr>
        <w:t xml:space="preserve"> </w:t>
      </w:r>
      <w:proofErr w:type="spellStart"/>
      <w:r w:rsidRPr="00277E9E">
        <w:rPr>
          <w:rFonts w:eastAsia="Arial" w:cs="Arial"/>
          <w:szCs w:val="24"/>
        </w:rPr>
        <w:t>del</w:t>
      </w:r>
      <w:proofErr w:type="spellEnd"/>
      <w:r w:rsidRPr="00277E9E">
        <w:rPr>
          <w:rFonts w:eastAsia="Arial" w:cs="Arial"/>
          <w:szCs w:val="24"/>
        </w:rPr>
        <w:t xml:space="preserve"> aceite de oliva </w:t>
      </w:r>
      <w:proofErr w:type="spellStart"/>
      <w:r w:rsidRPr="00277E9E">
        <w:rPr>
          <w:rFonts w:eastAsia="Arial" w:cs="Arial"/>
          <w:szCs w:val="24"/>
        </w:rPr>
        <w:t>virgen</w:t>
      </w:r>
      <w:proofErr w:type="spellEnd"/>
      <w:r w:rsidRPr="00277E9E">
        <w:rPr>
          <w:rFonts w:eastAsia="Arial" w:cs="Arial"/>
          <w:szCs w:val="24"/>
        </w:rPr>
        <w:t xml:space="preserve">. In:  BARRANCO, D.; FERNÁNDEZ-ESCOBAR, R.; RALLO, L.  (Ed.).  </w:t>
      </w:r>
      <w:r w:rsidRPr="00277E9E">
        <w:rPr>
          <w:rFonts w:eastAsia="Arial" w:cs="Arial"/>
          <w:b/>
          <w:szCs w:val="24"/>
        </w:rPr>
        <w:t xml:space="preserve">El cultivo </w:t>
      </w:r>
      <w:proofErr w:type="spellStart"/>
      <w:r w:rsidRPr="00277E9E">
        <w:rPr>
          <w:rFonts w:eastAsia="Arial" w:cs="Arial"/>
          <w:b/>
          <w:szCs w:val="24"/>
        </w:rPr>
        <w:t>del</w:t>
      </w:r>
      <w:proofErr w:type="spellEnd"/>
      <w:r w:rsidRPr="00277E9E">
        <w:rPr>
          <w:rFonts w:eastAsia="Arial" w:cs="Arial"/>
          <w:b/>
          <w:szCs w:val="24"/>
        </w:rPr>
        <w:t xml:space="preserve"> </w:t>
      </w:r>
      <w:proofErr w:type="spellStart"/>
      <w:r w:rsidRPr="00277E9E">
        <w:rPr>
          <w:rFonts w:eastAsia="Arial" w:cs="Arial"/>
          <w:b/>
          <w:szCs w:val="24"/>
        </w:rPr>
        <w:t>olivo</w:t>
      </w:r>
      <w:proofErr w:type="spellEnd"/>
      <w:r w:rsidRPr="00277E9E">
        <w:rPr>
          <w:rFonts w:eastAsia="Arial" w:cs="Arial"/>
          <w:szCs w:val="24"/>
        </w:rPr>
        <w:t xml:space="preserve">.  6.  ed. Madri: </w:t>
      </w:r>
      <w:proofErr w:type="spellStart"/>
      <w:r w:rsidRPr="00277E9E">
        <w:rPr>
          <w:rFonts w:eastAsia="Arial" w:cs="Arial"/>
          <w:szCs w:val="24"/>
        </w:rPr>
        <w:t>Mundi</w:t>
      </w:r>
      <w:proofErr w:type="spellEnd"/>
      <w:r w:rsidRPr="00277E9E">
        <w:rPr>
          <w:rFonts w:eastAsia="Arial" w:cs="Arial"/>
          <w:szCs w:val="24"/>
        </w:rPr>
        <w:t xml:space="preserve">-Prensa-Junta de </w:t>
      </w:r>
      <w:proofErr w:type="spellStart"/>
      <w:r w:rsidRPr="00277E9E">
        <w:rPr>
          <w:rFonts w:eastAsia="Arial" w:cs="Arial"/>
          <w:szCs w:val="24"/>
        </w:rPr>
        <w:t>Andalucia</w:t>
      </w:r>
      <w:proofErr w:type="spellEnd"/>
      <w:r w:rsidRPr="00277E9E">
        <w:rPr>
          <w:rFonts w:eastAsia="Arial" w:cs="Arial"/>
          <w:szCs w:val="24"/>
        </w:rPr>
        <w:t>, p. 657-697. 2008.</w:t>
      </w:r>
    </w:p>
    <w:p w:rsidR="00277E9E" w:rsidRPr="00277E9E" w:rsidRDefault="00277E9E" w:rsidP="00277E9E">
      <w:pPr>
        <w:spacing w:after="240" w:line="240" w:lineRule="auto"/>
        <w:ind w:right="79"/>
        <w:rPr>
          <w:rFonts w:eastAsia="Arial" w:cs="Arial"/>
          <w:szCs w:val="24"/>
        </w:rPr>
      </w:pPr>
      <w:r w:rsidRPr="00277E9E">
        <w:rPr>
          <w:rFonts w:eastAsia="Arial" w:cs="Arial"/>
          <w:szCs w:val="24"/>
        </w:rPr>
        <w:t xml:space="preserve">ANVISA. Agência Nacional de Vigilância Sanitária. </w:t>
      </w:r>
      <w:r w:rsidRPr="00277E9E">
        <w:rPr>
          <w:rFonts w:eastAsia="Arial" w:cs="Arial"/>
          <w:b/>
          <w:szCs w:val="24"/>
        </w:rPr>
        <w:t xml:space="preserve">Guia Para a Realização de Estudos de Toxicidade Pré-Clínica de Fitoterápicos. </w:t>
      </w:r>
      <w:r w:rsidRPr="00277E9E">
        <w:rPr>
          <w:rFonts w:eastAsia="Arial" w:cs="Arial"/>
          <w:szCs w:val="24"/>
        </w:rPr>
        <w:t>RESOLUÇÃO - RE Nº 90, DE 16 DE MARÇO DE 2004.</w:t>
      </w:r>
    </w:p>
    <w:p w:rsidR="00277E9E" w:rsidRPr="00277E9E" w:rsidRDefault="00277E9E" w:rsidP="00277E9E">
      <w:pPr>
        <w:spacing w:after="240" w:line="240" w:lineRule="auto"/>
        <w:rPr>
          <w:rFonts w:eastAsia="Arial" w:cs="Arial"/>
          <w:szCs w:val="24"/>
        </w:rPr>
      </w:pPr>
      <w:r w:rsidRPr="00277E9E">
        <w:rPr>
          <w:rFonts w:eastAsia="Arial" w:cs="Arial"/>
          <w:szCs w:val="24"/>
        </w:rPr>
        <w:t xml:space="preserve">BENAVENTE-GARCIA, O., CASTILLO, J., LORENTE, J., ORTUNO, A., &amp; DEL RIO, J. A. </w:t>
      </w:r>
      <w:proofErr w:type="spellStart"/>
      <w:r w:rsidRPr="00277E9E">
        <w:rPr>
          <w:rFonts w:eastAsia="Arial" w:cs="Arial"/>
          <w:szCs w:val="24"/>
        </w:rPr>
        <w:t>Antioxidant</w:t>
      </w:r>
      <w:proofErr w:type="spellEnd"/>
      <w:r w:rsidRPr="00277E9E">
        <w:rPr>
          <w:rFonts w:eastAsia="Arial" w:cs="Arial"/>
          <w:szCs w:val="24"/>
        </w:rPr>
        <w:t xml:space="preserve"> </w:t>
      </w:r>
      <w:proofErr w:type="spellStart"/>
      <w:r w:rsidRPr="00277E9E">
        <w:rPr>
          <w:rFonts w:eastAsia="Arial" w:cs="Arial"/>
          <w:szCs w:val="24"/>
        </w:rPr>
        <w:t>activity</w:t>
      </w:r>
      <w:proofErr w:type="spellEnd"/>
      <w:r w:rsidRPr="00277E9E">
        <w:rPr>
          <w:rFonts w:eastAsia="Arial" w:cs="Arial"/>
          <w:szCs w:val="24"/>
        </w:rPr>
        <w:t xml:space="preserve"> </w:t>
      </w:r>
      <w:proofErr w:type="spellStart"/>
      <w:r w:rsidRPr="00277E9E">
        <w:rPr>
          <w:rFonts w:eastAsia="Arial" w:cs="Arial"/>
          <w:szCs w:val="24"/>
        </w:rPr>
        <w:t>of</w:t>
      </w:r>
      <w:proofErr w:type="spellEnd"/>
      <w:r w:rsidRPr="00277E9E">
        <w:rPr>
          <w:rFonts w:eastAsia="Arial" w:cs="Arial"/>
          <w:szCs w:val="24"/>
        </w:rPr>
        <w:t xml:space="preserve"> </w:t>
      </w:r>
      <w:proofErr w:type="spellStart"/>
      <w:r w:rsidRPr="00277E9E">
        <w:rPr>
          <w:rFonts w:eastAsia="Arial" w:cs="Arial"/>
          <w:szCs w:val="24"/>
        </w:rPr>
        <w:t>phenolics</w:t>
      </w:r>
      <w:proofErr w:type="spellEnd"/>
      <w:r w:rsidRPr="00277E9E">
        <w:rPr>
          <w:rFonts w:eastAsia="Arial" w:cs="Arial"/>
          <w:szCs w:val="24"/>
        </w:rPr>
        <w:t xml:space="preserve"> </w:t>
      </w:r>
      <w:proofErr w:type="spellStart"/>
      <w:r w:rsidRPr="00277E9E">
        <w:rPr>
          <w:rFonts w:eastAsia="Arial" w:cs="Arial"/>
          <w:szCs w:val="24"/>
        </w:rPr>
        <w:t>extracted</w:t>
      </w:r>
      <w:proofErr w:type="spellEnd"/>
      <w:r w:rsidRPr="00277E9E">
        <w:rPr>
          <w:rFonts w:eastAsia="Arial" w:cs="Arial"/>
          <w:szCs w:val="24"/>
        </w:rPr>
        <w:t xml:space="preserve"> </w:t>
      </w:r>
      <w:proofErr w:type="spellStart"/>
      <w:r w:rsidRPr="00277E9E">
        <w:rPr>
          <w:rFonts w:eastAsia="Arial" w:cs="Arial"/>
          <w:szCs w:val="24"/>
        </w:rPr>
        <w:t>from</w:t>
      </w:r>
      <w:proofErr w:type="spellEnd"/>
      <w:r w:rsidRPr="00277E9E">
        <w:rPr>
          <w:rFonts w:eastAsia="Arial" w:cs="Arial"/>
          <w:szCs w:val="24"/>
        </w:rPr>
        <w:t xml:space="preserve"> Olea europaea L. </w:t>
      </w:r>
      <w:proofErr w:type="spellStart"/>
      <w:r w:rsidRPr="00277E9E">
        <w:rPr>
          <w:rFonts w:eastAsia="Arial" w:cs="Arial"/>
          <w:szCs w:val="24"/>
        </w:rPr>
        <w:t>leaves</w:t>
      </w:r>
      <w:proofErr w:type="spellEnd"/>
      <w:r w:rsidRPr="00277E9E">
        <w:rPr>
          <w:rFonts w:eastAsia="Arial" w:cs="Arial"/>
          <w:szCs w:val="24"/>
        </w:rPr>
        <w:t xml:space="preserve">. </w:t>
      </w:r>
      <w:proofErr w:type="spellStart"/>
      <w:r w:rsidRPr="00277E9E">
        <w:rPr>
          <w:rFonts w:eastAsia="Arial" w:cs="Arial"/>
          <w:b/>
          <w:szCs w:val="24"/>
        </w:rPr>
        <w:t>Food</w:t>
      </w:r>
      <w:proofErr w:type="spellEnd"/>
      <w:r w:rsidRPr="00277E9E">
        <w:rPr>
          <w:rFonts w:eastAsia="Arial" w:cs="Arial"/>
          <w:b/>
          <w:szCs w:val="24"/>
        </w:rPr>
        <w:t xml:space="preserve"> </w:t>
      </w:r>
      <w:proofErr w:type="spellStart"/>
      <w:r w:rsidRPr="00277E9E">
        <w:rPr>
          <w:rFonts w:eastAsia="Arial" w:cs="Arial"/>
          <w:b/>
          <w:szCs w:val="24"/>
        </w:rPr>
        <w:t>Chemistry</w:t>
      </w:r>
      <w:proofErr w:type="spellEnd"/>
      <w:r w:rsidRPr="00277E9E">
        <w:rPr>
          <w:rFonts w:eastAsia="Arial" w:cs="Arial"/>
          <w:b/>
          <w:szCs w:val="24"/>
        </w:rPr>
        <w:t>,</w:t>
      </w:r>
      <w:r w:rsidRPr="00277E9E">
        <w:rPr>
          <w:rFonts w:eastAsia="Arial" w:cs="Arial"/>
          <w:szCs w:val="24"/>
        </w:rPr>
        <w:t xml:space="preserve"> 68(4), 457-462, 2000.</w:t>
      </w:r>
    </w:p>
    <w:p w:rsidR="00277E9E" w:rsidRPr="003D66F2" w:rsidRDefault="00277E9E" w:rsidP="00277E9E">
      <w:pPr>
        <w:spacing w:after="240" w:line="240" w:lineRule="auto"/>
        <w:rPr>
          <w:rFonts w:eastAsia="Arial" w:cs="Arial"/>
          <w:szCs w:val="24"/>
          <w:lang w:val="en-US"/>
        </w:rPr>
      </w:pPr>
      <w:r w:rsidRPr="00277E9E">
        <w:rPr>
          <w:rFonts w:eastAsia="Arial" w:cs="Arial"/>
          <w:szCs w:val="24"/>
        </w:rPr>
        <w:t xml:space="preserve">BOBBIO, F. O., BOBBIO, P. A. </w:t>
      </w:r>
      <w:r w:rsidRPr="00277E9E">
        <w:rPr>
          <w:rFonts w:eastAsia="Arial" w:cs="Arial"/>
          <w:b/>
          <w:szCs w:val="24"/>
        </w:rPr>
        <w:t>Introdução à química de alimentos</w:t>
      </w:r>
      <w:r w:rsidRPr="00277E9E">
        <w:rPr>
          <w:rFonts w:eastAsia="Arial" w:cs="Arial"/>
          <w:szCs w:val="24"/>
        </w:rPr>
        <w:t xml:space="preserve">. </w:t>
      </w:r>
      <w:r w:rsidRPr="003D66F2">
        <w:rPr>
          <w:rFonts w:eastAsia="Arial" w:cs="Arial"/>
          <w:szCs w:val="24"/>
          <w:lang w:val="en-US"/>
        </w:rPr>
        <w:t>São Paulo: Varela, 2003.</w:t>
      </w:r>
    </w:p>
    <w:p w:rsidR="00277E9E" w:rsidRPr="00277E9E" w:rsidRDefault="00277E9E" w:rsidP="00277E9E">
      <w:pPr>
        <w:spacing w:after="240" w:line="240" w:lineRule="auto"/>
        <w:rPr>
          <w:rFonts w:eastAsia="Arial" w:cs="Arial"/>
          <w:szCs w:val="24"/>
        </w:rPr>
      </w:pPr>
      <w:r w:rsidRPr="003D66F2">
        <w:rPr>
          <w:rFonts w:eastAsia="Arial" w:cs="Arial"/>
          <w:szCs w:val="24"/>
          <w:lang w:val="en-US"/>
        </w:rPr>
        <w:t xml:space="preserve">BOSKOU, D. Olive oil: chemistry and technology. </w:t>
      </w:r>
      <w:proofErr w:type="spellStart"/>
      <w:r w:rsidRPr="00277E9E">
        <w:rPr>
          <w:rFonts w:eastAsia="Arial" w:cs="Arial"/>
          <w:szCs w:val="24"/>
        </w:rPr>
        <w:t>Champaign</w:t>
      </w:r>
      <w:proofErr w:type="spellEnd"/>
      <w:r w:rsidRPr="00277E9E">
        <w:rPr>
          <w:rFonts w:eastAsia="Arial" w:cs="Arial"/>
          <w:szCs w:val="24"/>
        </w:rPr>
        <w:t xml:space="preserve">: </w:t>
      </w:r>
      <w:r w:rsidRPr="00607CE3">
        <w:rPr>
          <w:rFonts w:eastAsia="Arial" w:cs="Arial"/>
          <w:b/>
          <w:szCs w:val="24"/>
        </w:rPr>
        <w:t>AOCS,</w:t>
      </w:r>
      <w:r w:rsidRPr="00277E9E">
        <w:rPr>
          <w:rFonts w:eastAsia="Arial" w:cs="Arial"/>
          <w:szCs w:val="24"/>
        </w:rPr>
        <w:t xml:space="preserve"> 1996. </w:t>
      </w:r>
    </w:p>
    <w:p w:rsidR="00277E9E" w:rsidRPr="00277E9E" w:rsidRDefault="00277E9E" w:rsidP="00277E9E">
      <w:pPr>
        <w:spacing w:before="0" w:after="240" w:line="240" w:lineRule="auto"/>
        <w:rPr>
          <w:rFonts w:cs="Arial"/>
          <w:szCs w:val="24"/>
        </w:rPr>
      </w:pPr>
      <w:r w:rsidRPr="00277E9E">
        <w:rPr>
          <w:rFonts w:cs="Arial"/>
          <w:szCs w:val="24"/>
        </w:rPr>
        <w:t xml:space="preserve">BRASIL. </w:t>
      </w:r>
      <w:r w:rsidRPr="00277E9E">
        <w:rPr>
          <w:rFonts w:cs="Arial"/>
          <w:b/>
          <w:bCs/>
          <w:szCs w:val="24"/>
        </w:rPr>
        <w:t>Decreto n. 6.899</w:t>
      </w:r>
      <w:r w:rsidRPr="00277E9E">
        <w:rPr>
          <w:rFonts w:cs="Arial"/>
          <w:szCs w:val="24"/>
        </w:rPr>
        <w:t xml:space="preserve">, de 15 de julho de 2009. Disponível em: </w:t>
      </w:r>
      <w:hyperlink r:id="rId9" w:history="1">
        <w:r w:rsidRPr="00277E9E">
          <w:rPr>
            <w:rStyle w:val="Hyperlink"/>
            <w:rFonts w:cs="Arial"/>
            <w:szCs w:val="24"/>
          </w:rPr>
          <w:t>http://www.planalto.gov.br/ccivil_03/_Ato2007-2010/2009/Decreto/D6899.htm</w:t>
        </w:r>
      </w:hyperlink>
      <w:r w:rsidRPr="00277E9E">
        <w:rPr>
          <w:rFonts w:cs="Arial"/>
          <w:szCs w:val="24"/>
        </w:rPr>
        <w:t>. Acesso em: 15 abr. 2019.</w:t>
      </w:r>
    </w:p>
    <w:p w:rsidR="00277E9E" w:rsidRPr="00277E9E" w:rsidRDefault="00277E9E" w:rsidP="00277E9E">
      <w:pPr>
        <w:spacing w:before="0" w:after="240" w:line="240" w:lineRule="auto"/>
        <w:rPr>
          <w:rFonts w:cs="Arial"/>
          <w:szCs w:val="24"/>
        </w:rPr>
      </w:pPr>
      <w:r w:rsidRPr="00277E9E">
        <w:rPr>
          <w:rFonts w:cs="Arial"/>
          <w:szCs w:val="24"/>
        </w:rPr>
        <w:t xml:space="preserve">BRASIL. </w:t>
      </w:r>
      <w:r w:rsidRPr="00277E9E">
        <w:rPr>
          <w:rFonts w:cs="Arial"/>
          <w:b/>
          <w:szCs w:val="24"/>
        </w:rPr>
        <w:t>Farmacopeia Brasileira</w:t>
      </w:r>
      <w:r w:rsidRPr="00277E9E">
        <w:rPr>
          <w:rFonts w:cs="Arial"/>
          <w:szCs w:val="24"/>
        </w:rPr>
        <w:t>. Vol.1. 5ed. Agência Nacional de Vigilância Sanitária. Brasília: Anvisa, 2010. 548p.</w:t>
      </w:r>
    </w:p>
    <w:p w:rsidR="00277E9E" w:rsidRPr="00277E9E" w:rsidRDefault="00277E9E" w:rsidP="00277E9E">
      <w:pPr>
        <w:spacing w:before="0" w:after="240" w:line="240" w:lineRule="auto"/>
        <w:rPr>
          <w:rFonts w:cs="Arial"/>
          <w:szCs w:val="24"/>
        </w:rPr>
      </w:pPr>
      <w:r w:rsidRPr="00277E9E">
        <w:rPr>
          <w:rFonts w:cs="Arial"/>
          <w:szCs w:val="24"/>
        </w:rPr>
        <w:t xml:space="preserve">BRASIL. </w:t>
      </w:r>
      <w:r w:rsidRPr="00277E9E">
        <w:rPr>
          <w:rFonts w:cs="Arial"/>
          <w:b/>
          <w:bCs/>
          <w:szCs w:val="24"/>
        </w:rPr>
        <w:t>Lei n. 11.794</w:t>
      </w:r>
      <w:r w:rsidRPr="00277E9E">
        <w:rPr>
          <w:rFonts w:cs="Arial"/>
          <w:szCs w:val="24"/>
        </w:rPr>
        <w:t>, de 8 de outubro de 2008. Disponível em: &lt;</w:t>
      </w:r>
      <w:hyperlink r:id="rId10" w:history="1">
        <w:r w:rsidRPr="00277E9E">
          <w:rPr>
            <w:rStyle w:val="Hyperlink"/>
            <w:rFonts w:cs="Arial"/>
            <w:szCs w:val="24"/>
          </w:rPr>
          <w:t>http://www.planalto.gov.br/ccivil_03/_ato2007-2010/2008/lei/l11794.htm</w:t>
        </w:r>
      </w:hyperlink>
      <w:r w:rsidRPr="00277E9E">
        <w:rPr>
          <w:rFonts w:cs="Arial"/>
          <w:szCs w:val="24"/>
        </w:rPr>
        <w:t>&gt;.   Acesso em: 15 abr. 2019.</w:t>
      </w:r>
    </w:p>
    <w:p w:rsidR="00277E9E" w:rsidRPr="00277E9E" w:rsidRDefault="00277E9E" w:rsidP="00277E9E">
      <w:pPr>
        <w:spacing w:after="240" w:line="240" w:lineRule="auto"/>
        <w:rPr>
          <w:rFonts w:eastAsia="Arial" w:cs="Arial"/>
          <w:szCs w:val="24"/>
        </w:rPr>
      </w:pPr>
      <w:r w:rsidRPr="00277E9E">
        <w:rPr>
          <w:rFonts w:eastAsia="Arial" w:cs="Arial"/>
          <w:szCs w:val="24"/>
        </w:rPr>
        <w:t xml:space="preserve">BRASIL. Ministério da Saúde. ANVISA. </w:t>
      </w:r>
      <w:r w:rsidRPr="00277E9E">
        <w:rPr>
          <w:rFonts w:eastAsia="Arial" w:cs="Arial"/>
          <w:b/>
          <w:szCs w:val="24"/>
        </w:rPr>
        <w:t>Portaria 48</w:t>
      </w:r>
      <w:r w:rsidRPr="00277E9E">
        <w:rPr>
          <w:rFonts w:eastAsia="Arial" w:cs="Arial"/>
          <w:szCs w:val="24"/>
        </w:rPr>
        <w:t>, de 16 de março de 2004. Diário Oficial da União, 18.03.2004.</w:t>
      </w:r>
    </w:p>
    <w:p w:rsidR="00277E9E" w:rsidRPr="00277E9E" w:rsidRDefault="00277E9E" w:rsidP="00277E9E">
      <w:pPr>
        <w:spacing w:after="240" w:line="240" w:lineRule="auto"/>
        <w:rPr>
          <w:rFonts w:eastAsia="Arial" w:cs="Arial"/>
          <w:szCs w:val="24"/>
        </w:rPr>
      </w:pPr>
      <w:r w:rsidRPr="00277E9E">
        <w:rPr>
          <w:rFonts w:eastAsia="Arial" w:cs="Arial"/>
          <w:szCs w:val="24"/>
        </w:rPr>
        <w:t xml:space="preserve">CAMPESATO, V.R.; Uso de Plantas Medicinais Durante a Gravidez e Risco para Malformações Congênitas. </w:t>
      </w:r>
      <w:r w:rsidRPr="00277E9E">
        <w:rPr>
          <w:rFonts w:eastAsia="Arial" w:cs="Arial"/>
          <w:b/>
          <w:szCs w:val="24"/>
        </w:rPr>
        <w:t xml:space="preserve">Tese de Doutorado </w:t>
      </w:r>
      <w:r w:rsidRPr="00277E9E">
        <w:rPr>
          <w:rFonts w:eastAsia="Arial" w:cs="Arial"/>
          <w:szCs w:val="24"/>
        </w:rPr>
        <w:t>- Universidade Federal do Rio Grande do Sul, 2005.</w:t>
      </w:r>
    </w:p>
    <w:p w:rsidR="00277E9E" w:rsidRPr="003D66F2" w:rsidRDefault="00277E9E" w:rsidP="00277E9E">
      <w:pPr>
        <w:autoSpaceDE w:val="0"/>
        <w:autoSpaceDN w:val="0"/>
        <w:adjustRightInd w:val="0"/>
        <w:spacing w:before="0" w:after="240" w:line="240" w:lineRule="auto"/>
        <w:rPr>
          <w:rFonts w:cs="Arial"/>
          <w:szCs w:val="24"/>
          <w:lang w:val="en-US"/>
        </w:rPr>
      </w:pPr>
      <w:r w:rsidRPr="00277E9E">
        <w:rPr>
          <w:rFonts w:cs="Arial"/>
          <w:szCs w:val="24"/>
        </w:rPr>
        <w:t xml:space="preserve">CASTRO, V. L. </w:t>
      </w:r>
      <w:r w:rsidRPr="00607CE3">
        <w:rPr>
          <w:rFonts w:cs="Arial"/>
          <w:bCs/>
          <w:szCs w:val="24"/>
        </w:rPr>
        <w:t>Estudo Experimental em Ratos da Interação Mãe-Filhote Expostos a Agroquímicos</w:t>
      </w:r>
      <w:r w:rsidRPr="00277E9E">
        <w:rPr>
          <w:rFonts w:cs="Arial"/>
          <w:szCs w:val="24"/>
        </w:rPr>
        <w:t xml:space="preserve">. </w:t>
      </w:r>
      <w:r w:rsidRPr="003D66F2">
        <w:rPr>
          <w:rFonts w:cs="Arial"/>
          <w:szCs w:val="24"/>
          <w:lang w:val="en-US"/>
        </w:rPr>
        <w:t xml:space="preserve">Circular </w:t>
      </w:r>
      <w:proofErr w:type="spellStart"/>
      <w:r w:rsidRPr="003D66F2">
        <w:rPr>
          <w:rFonts w:cs="Arial"/>
          <w:szCs w:val="24"/>
          <w:lang w:val="en-US"/>
        </w:rPr>
        <w:t>técnica</w:t>
      </w:r>
      <w:proofErr w:type="spellEnd"/>
      <w:r w:rsidRPr="003D66F2">
        <w:rPr>
          <w:rFonts w:cs="Arial"/>
          <w:szCs w:val="24"/>
          <w:lang w:val="en-US"/>
        </w:rPr>
        <w:t xml:space="preserve"> 13, </w:t>
      </w:r>
      <w:proofErr w:type="spellStart"/>
      <w:r w:rsidRPr="003D66F2">
        <w:rPr>
          <w:rFonts w:cs="Arial"/>
          <w:b/>
          <w:szCs w:val="24"/>
          <w:lang w:val="en-US"/>
        </w:rPr>
        <w:t>Embrapa</w:t>
      </w:r>
      <w:proofErr w:type="spellEnd"/>
      <w:r w:rsidRPr="003D66F2">
        <w:rPr>
          <w:rFonts w:cs="Arial"/>
          <w:b/>
          <w:szCs w:val="24"/>
          <w:lang w:val="en-US"/>
        </w:rPr>
        <w:t xml:space="preserve"> </w:t>
      </w:r>
      <w:proofErr w:type="spellStart"/>
      <w:r w:rsidRPr="003D66F2">
        <w:rPr>
          <w:rFonts w:cs="Arial"/>
          <w:b/>
          <w:szCs w:val="24"/>
          <w:lang w:val="en-US"/>
        </w:rPr>
        <w:t>Meio</w:t>
      </w:r>
      <w:proofErr w:type="spellEnd"/>
      <w:r w:rsidRPr="003D66F2">
        <w:rPr>
          <w:rFonts w:cs="Arial"/>
          <w:b/>
          <w:szCs w:val="24"/>
          <w:lang w:val="en-US"/>
        </w:rPr>
        <w:t xml:space="preserve"> </w:t>
      </w:r>
      <w:proofErr w:type="spellStart"/>
      <w:r w:rsidRPr="003D66F2">
        <w:rPr>
          <w:rFonts w:cs="Arial"/>
          <w:b/>
          <w:szCs w:val="24"/>
          <w:lang w:val="en-US"/>
        </w:rPr>
        <w:t>ambiente</w:t>
      </w:r>
      <w:proofErr w:type="spellEnd"/>
      <w:r w:rsidRPr="003D66F2">
        <w:rPr>
          <w:rFonts w:cs="Arial"/>
          <w:szCs w:val="24"/>
          <w:lang w:val="en-US"/>
        </w:rPr>
        <w:t xml:space="preserve">, </w:t>
      </w:r>
      <w:proofErr w:type="spellStart"/>
      <w:r w:rsidRPr="003D66F2">
        <w:rPr>
          <w:rFonts w:cs="Arial"/>
          <w:szCs w:val="24"/>
          <w:lang w:val="en-US"/>
        </w:rPr>
        <w:t>Jaguariúna</w:t>
      </w:r>
      <w:proofErr w:type="spellEnd"/>
      <w:r w:rsidRPr="003D66F2">
        <w:rPr>
          <w:rFonts w:cs="Arial"/>
          <w:szCs w:val="24"/>
          <w:lang w:val="en-US"/>
        </w:rPr>
        <w:t>, SP. 2006.</w:t>
      </w:r>
    </w:p>
    <w:p w:rsidR="00277E9E" w:rsidRPr="00277E9E" w:rsidRDefault="00277E9E" w:rsidP="00277E9E">
      <w:pPr>
        <w:pStyle w:val="Default"/>
        <w:spacing w:after="240"/>
      </w:pPr>
      <w:r w:rsidRPr="003D66F2">
        <w:rPr>
          <w:lang w:val="en-US"/>
        </w:rPr>
        <w:t xml:space="preserve">CEUA/UFRGS. </w:t>
      </w:r>
      <w:r w:rsidRPr="003D66F2">
        <w:rPr>
          <w:b/>
          <w:bCs/>
          <w:lang w:val="en-US"/>
        </w:rPr>
        <w:t xml:space="preserve">Expert working group on severity classification of scientific procedures performed on animals. </w:t>
      </w:r>
      <w:r w:rsidRPr="00277E9E">
        <w:t xml:space="preserve">Final Report. 2009. Disponível em: </w:t>
      </w:r>
      <w:r w:rsidRPr="00277E9E">
        <w:rPr>
          <w:color w:val="auto"/>
        </w:rPr>
        <w:t>&lt;</w:t>
      </w:r>
      <w:hyperlink r:id="rId11" w:history="1">
        <w:r w:rsidRPr="00277E9E">
          <w:rPr>
            <w:rStyle w:val="Hyperlink"/>
            <w:color w:val="auto"/>
            <w:u w:val="none"/>
          </w:rPr>
          <w:t>http://ec.europa.eu/environment/chemicals/lab_animals/pdf/report_ewg.pdf</w:t>
        </w:r>
      </w:hyperlink>
      <w:r w:rsidRPr="00277E9E">
        <w:rPr>
          <w:color w:val="auto"/>
        </w:rPr>
        <w:t xml:space="preserve"> &gt;. </w:t>
      </w:r>
      <w:r w:rsidRPr="00277E9E">
        <w:t>Acesso em: 15 abr. 2019.</w:t>
      </w:r>
    </w:p>
    <w:p w:rsidR="00277E9E" w:rsidRPr="003D66F2" w:rsidRDefault="00277E9E" w:rsidP="00277E9E">
      <w:pPr>
        <w:spacing w:before="0" w:after="240" w:line="240" w:lineRule="auto"/>
        <w:rPr>
          <w:rFonts w:cs="Arial"/>
          <w:szCs w:val="24"/>
          <w:lang w:val="en-US"/>
        </w:rPr>
      </w:pPr>
      <w:r w:rsidRPr="00277E9E">
        <w:rPr>
          <w:rFonts w:cs="Arial"/>
          <w:szCs w:val="24"/>
        </w:rPr>
        <w:t>CFMV – Conselho Federal de Medicina Veterinária. Sistema CFMV/</w:t>
      </w:r>
      <w:proofErr w:type="spellStart"/>
      <w:r w:rsidRPr="00277E9E">
        <w:rPr>
          <w:rFonts w:cs="Arial"/>
          <w:szCs w:val="24"/>
        </w:rPr>
        <w:t>CRMVs</w:t>
      </w:r>
      <w:proofErr w:type="spellEnd"/>
      <w:r w:rsidRPr="00277E9E">
        <w:rPr>
          <w:rFonts w:cs="Arial"/>
          <w:szCs w:val="24"/>
        </w:rPr>
        <w:t xml:space="preserve">. </w:t>
      </w:r>
      <w:r w:rsidRPr="00277E9E">
        <w:rPr>
          <w:rFonts w:cs="Arial"/>
          <w:b/>
          <w:bCs/>
          <w:szCs w:val="24"/>
        </w:rPr>
        <w:t xml:space="preserve">Guia brasileiro de boas práticas em eutanásia em animais </w:t>
      </w:r>
      <w:r w:rsidRPr="00277E9E">
        <w:rPr>
          <w:rFonts w:cs="Arial"/>
          <w:szCs w:val="24"/>
        </w:rPr>
        <w:t xml:space="preserve">– conceitos e procedimentos recomendados. v.1. </w:t>
      </w:r>
      <w:r w:rsidRPr="003D66F2">
        <w:rPr>
          <w:rFonts w:cs="Arial"/>
          <w:szCs w:val="24"/>
          <w:lang w:val="en-US"/>
        </w:rPr>
        <w:t>Brasília: CFMV, 2012.</w:t>
      </w:r>
    </w:p>
    <w:p w:rsidR="00277E9E" w:rsidRPr="00277E9E" w:rsidRDefault="00277E9E" w:rsidP="00277E9E">
      <w:pPr>
        <w:autoSpaceDE w:val="0"/>
        <w:autoSpaceDN w:val="0"/>
        <w:adjustRightInd w:val="0"/>
        <w:spacing w:after="240" w:line="240" w:lineRule="auto"/>
        <w:rPr>
          <w:rFonts w:cs="Arial"/>
          <w:szCs w:val="24"/>
        </w:rPr>
      </w:pPr>
      <w:r w:rsidRPr="003D66F2">
        <w:rPr>
          <w:rFonts w:cs="Arial"/>
          <w:szCs w:val="24"/>
          <w:lang w:val="en-US"/>
        </w:rPr>
        <w:lastRenderedPageBreak/>
        <w:t xml:space="preserve">CHRISTIAN, M. et al. The toxicity of hydrolyzes aqueous olive pulp extract. </w:t>
      </w:r>
      <w:proofErr w:type="spellStart"/>
      <w:r w:rsidRPr="00277E9E">
        <w:rPr>
          <w:rFonts w:cs="Arial"/>
          <w:b/>
          <w:bCs/>
          <w:szCs w:val="24"/>
        </w:rPr>
        <w:t>Drug</w:t>
      </w:r>
      <w:proofErr w:type="spellEnd"/>
      <w:r w:rsidRPr="00277E9E">
        <w:rPr>
          <w:rFonts w:cs="Arial"/>
          <w:b/>
          <w:bCs/>
          <w:szCs w:val="24"/>
        </w:rPr>
        <w:t xml:space="preserve"> </w:t>
      </w:r>
      <w:proofErr w:type="spellStart"/>
      <w:r w:rsidRPr="00277E9E">
        <w:rPr>
          <w:rFonts w:cs="Arial"/>
          <w:b/>
          <w:bCs/>
          <w:szCs w:val="24"/>
        </w:rPr>
        <w:t>and</w:t>
      </w:r>
      <w:proofErr w:type="spellEnd"/>
      <w:r w:rsidRPr="00277E9E">
        <w:rPr>
          <w:rFonts w:cs="Arial"/>
          <w:b/>
          <w:bCs/>
          <w:szCs w:val="24"/>
        </w:rPr>
        <w:t xml:space="preserve"> </w:t>
      </w:r>
      <w:proofErr w:type="spellStart"/>
      <w:r w:rsidRPr="00277E9E">
        <w:rPr>
          <w:rFonts w:cs="Arial"/>
          <w:b/>
          <w:bCs/>
          <w:szCs w:val="24"/>
        </w:rPr>
        <w:t>Chemical</w:t>
      </w:r>
      <w:proofErr w:type="spellEnd"/>
      <w:r w:rsidRPr="00277E9E">
        <w:rPr>
          <w:rFonts w:cs="Arial"/>
          <w:b/>
          <w:bCs/>
          <w:szCs w:val="24"/>
        </w:rPr>
        <w:t xml:space="preserve"> </w:t>
      </w:r>
      <w:proofErr w:type="spellStart"/>
      <w:r w:rsidRPr="00277E9E">
        <w:rPr>
          <w:rFonts w:cs="Arial"/>
          <w:b/>
          <w:bCs/>
          <w:szCs w:val="24"/>
        </w:rPr>
        <w:t>Toxicology</w:t>
      </w:r>
      <w:proofErr w:type="spellEnd"/>
      <w:r w:rsidRPr="00277E9E">
        <w:rPr>
          <w:rFonts w:cs="Arial"/>
          <w:szCs w:val="24"/>
        </w:rPr>
        <w:t>. v. 27, n. 4, p. 309-330, 2004.</w:t>
      </w:r>
    </w:p>
    <w:p w:rsidR="00277E9E" w:rsidRPr="00277E9E" w:rsidRDefault="00277E9E" w:rsidP="00277E9E">
      <w:pPr>
        <w:pStyle w:val="Default"/>
        <w:spacing w:after="240"/>
      </w:pPr>
      <w:r w:rsidRPr="00277E9E">
        <w:t xml:space="preserve">CONCEA – Conselho Nacional de Controle de Experimentação Animal. </w:t>
      </w:r>
      <w:r w:rsidRPr="00277E9E">
        <w:rPr>
          <w:b/>
          <w:bCs/>
        </w:rPr>
        <w:t xml:space="preserve">Diretriz brasileira para o cuidado e utilização de animais para fins científicos e didáticos </w:t>
      </w:r>
      <w:r w:rsidRPr="00277E9E">
        <w:t xml:space="preserve">– DBCA. Brasília: CONCEA, 2016. </w:t>
      </w:r>
    </w:p>
    <w:p w:rsidR="00277E9E" w:rsidRPr="00277E9E" w:rsidRDefault="00277E9E" w:rsidP="00277E9E">
      <w:pPr>
        <w:pStyle w:val="Default"/>
        <w:spacing w:after="240"/>
      </w:pPr>
      <w:r w:rsidRPr="00277E9E">
        <w:t xml:space="preserve">CONCEA – Conselho Nacional de Controle de Experimentação Animal. </w:t>
      </w:r>
      <w:r w:rsidRPr="00277E9E">
        <w:rPr>
          <w:b/>
        </w:rPr>
        <w:t>Resolução Normativa nº 37 de 15 de fevereiro de 2018</w:t>
      </w:r>
      <w:r w:rsidRPr="00277E9E">
        <w:t xml:space="preserve">. Brasília: CONCEA, 2018. </w:t>
      </w:r>
    </w:p>
    <w:p w:rsidR="00277E9E" w:rsidRPr="003D66F2" w:rsidRDefault="00277E9E" w:rsidP="00277E9E">
      <w:pPr>
        <w:spacing w:after="240" w:line="240" w:lineRule="auto"/>
        <w:rPr>
          <w:rFonts w:eastAsia="Arial" w:cs="Arial"/>
          <w:szCs w:val="24"/>
          <w:lang w:val="en-US"/>
        </w:rPr>
      </w:pPr>
      <w:r w:rsidRPr="00277E9E">
        <w:rPr>
          <w:rFonts w:eastAsia="Arial" w:cs="Arial"/>
          <w:szCs w:val="24"/>
        </w:rPr>
        <w:t xml:space="preserve">EBISUI, L.; FONTES, R.S.; LAPCHIK, V.B.V. Rato. In: </w:t>
      </w:r>
      <w:r w:rsidRPr="00277E9E">
        <w:rPr>
          <w:rFonts w:eastAsia="Arial" w:cs="Arial"/>
          <w:b/>
          <w:szCs w:val="24"/>
        </w:rPr>
        <w:t>Cuidados e Manejo de Animais de Laboratório</w:t>
      </w:r>
      <w:r w:rsidRPr="00277E9E">
        <w:rPr>
          <w:rFonts w:eastAsia="Arial" w:cs="Arial"/>
          <w:szCs w:val="24"/>
        </w:rPr>
        <w:t>. LAPCHIK, V.B.V; MATTARAIA, V.G.M.; KO, G.M. (</w:t>
      </w:r>
      <w:proofErr w:type="spellStart"/>
      <w:r w:rsidRPr="00277E9E">
        <w:rPr>
          <w:rFonts w:eastAsia="Arial" w:cs="Arial"/>
          <w:szCs w:val="24"/>
        </w:rPr>
        <w:t>orgs</w:t>
      </w:r>
      <w:proofErr w:type="spellEnd"/>
      <w:r w:rsidRPr="00277E9E">
        <w:rPr>
          <w:rFonts w:eastAsia="Arial" w:cs="Arial"/>
          <w:szCs w:val="24"/>
        </w:rPr>
        <w:t xml:space="preserve">). </w:t>
      </w:r>
      <w:r w:rsidRPr="003D66F2">
        <w:rPr>
          <w:rFonts w:eastAsia="Arial" w:cs="Arial"/>
          <w:szCs w:val="24"/>
          <w:lang w:val="en-US"/>
        </w:rPr>
        <w:t xml:space="preserve">São Paulo: Ed. </w:t>
      </w:r>
      <w:proofErr w:type="spellStart"/>
      <w:r w:rsidRPr="003D66F2">
        <w:rPr>
          <w:rFonts w:eastAsia="Arial" w:cs="Arial"/>
          <w:szCs w:val="24"/>
          <w:lang w:val="en-US"/>
        </w:rPr>
        <w:t>Atheneu</w:t>
      </w:r>
      <w:proofErr w:type="spellEnd"/>
      <w:r w:rsidRPr="003D66F2">
        <w:rPr>
          <w:rFonts w:eastAsia="Arial" w:cs="Arial"/>
          <w:szCs w:val="24"/>
          <w:lang w:val="en-US"/>
        </w:rPr>
        <w:t>. p. 229 – 250, 2009.</w:t>
      </w:r>
    </w:p>
    <w:p w:rsidR="00277E9E" w:rsidRPr="00277E9E" w:rsidRDefault="00277E9E" w:rsidP="00277E9E">
      <w:pPr>
        <w:spacing w:after="240" w:line="240" w:lineRule="auto"/>
        <w:rPr>
          <w:rFonts w:cs="Arial"/>
          <w:szCs w:val="24"/>
        </w:rPr>
      </w:pPr>
      <w:r w:rsidRPr="003D66F2">
        <w:rPr>
          <w:rFonts w:cs="Arial"/>
          <w:szCs w:val="24"/>
          <w:lang w:val="en-US"/>
        </w:rPr>
        <w:t xml:space="preserve">EPA – Environmental Protection Agency. </w:t>
      </w:r>
      <w:r w:rsidRPr="003D66F2">
        <w:rPr>
          <w:rFonts w:cs="Arial"/>
          <w:b/>
          <w:szCs w:val="24"/>
          <w:lang w:val="en-US"/>
        </w:rPr>
        <w:t>Guidelines for Reproductive Toxicity Risk Assessment</w:t>
      </w:r>
      <w:r w:rsidRPr="003D66F2">
        <w:rPr>
          <w:rFonts w:cs="Arial"/>
          <w:szCs w:val="24"/>
          <w:lang w:val="en-US"/>
        </w:rPr>
        <w:t xml:space="preserve">. </w:t>
      </w:r>
      <w:r w:rsidRPr="00277E9E">
        <w:rPr>
          <w:rFonts w:cs="Arial"/>
          <w:szCs w:val="24"/>
        </w:rPr>
        <w:t xml:space="preserve">Federal </w:t>
      </w:r>
      <w:proofErr w:type="spellStart"/>
      <w:r w:rsidRPr="00277E9E">
        <w:rPr>
          <w:rFonts w:cs="Arial"/>
          <w:szCs w:val="24"/>
        </w:rPr>
        <w:t>Register</w:t>
      </w:r>
      <w:proofErr w:type="spellEnd"/>
      <w:r w:rsidRPr="00277E9E">
        <w:rPr>
          <w:rFonts w:cs="Arial"/>
          <w:szCs w:val="24"/>
        </w:rPr>
        <w:t xml:space="preserve"> 61(212):56274-56322. </w:t>
      </w:r>
      <w:proofErr w:type="spellStart"/>
      <w:r w:rsidRPr="00277E9E">
        <w:rPr>
          <w:rFonts w:cs="Arial"/>
          <w:szCs w:val="24"/>
        </w:rPr>
        <w:t>October</w:t>
      </w:r>
      <w:proofErr w:type="spellEnd"/>
      <w:r w:rsidRPr="00277E9E">
        <w:rPr>
          <w:rFonts w:cs="Arial"/>
          <w:szCs w:val="24"/>
        </w:rPr>
        <w:t>, 1996.</w:t>
      </w:r>
    </w:p>
    <w:p w:rsidR="00277E9E" w:rsidRPr="00277E9E" w:rsidRDefault="00277E9E" w:rsidP="00607CE3">
      <w:pPr>
        <w:autoSpaceDE w:val="0"/>
        <w:autoSpaceDN w:val="0"/>
        <w:adjustRightInd w:val="0"/>
        <w:spacing w:before="0" w:after="240" w:line="240" w:lineRule="auto"/>
        <w:rPr>
          <w:rFonts w:cs="Arial"/>
          <w:szCs w:val="24"/>
        </w:rPr>
      </w:pPr>
      <w:r w:rsidRPr="00277E9E">
        <w:rPr>
          <w:rFonts w:cs="Arial"/>
          <w:szCs w:val="24"/>
        </w:rPr>
        <w:t xml:space="preserve">FANTONI, D.T; CORTOPASSI, S.R.G.; BERNARDI, M.M. Anestésicos Intravenosos e Outros Parenterais. In: SPINOSA, H.S. </w:t>
      </w:r>
      <w:r w:rsidRPr="00277E9E">
        <w:rPr>
          <w:rFonts w:cs="Arial"/>
          <w:b/>
          <w:bCs/>
          <w:szCs w:val="24"/>
        </w:rPr>
        <w:t>Farmacologia aplicada à medicina veterinária</w:t>
      </w:r>
      <w:r w:rsidRPr="00277E9E">
        <w:rPr>
          <w:rFonts w:cs="Arial"/>
          <w:szCs w:val="24"/>
        </w:rPr>
        <w:t>. 5 ed., Rio de Janeiro: Guanabara Koogan, 2011.</w:t>
      </w:r>
    </w:p>
    <w:p w:rsidR="00277E9E" w:rsidRPr="003D66F2" w:rsidRDefault="00277E9E" w:rsidP="00607CE3">
      <w:pPr>
        <w:spacing w:after="240" w:line="240" w:lineRule="auto"/>
        <w:rPr>
          <w:rFonts w:eastAsia="Arial" w:cs="Arial"/>
          <w:szCs w:val="24"/>
          <w:lang w:val="en-US"/>
        </w:rPr>
      </w:pPr>
      <w:r w:rsidRPr="003D66F2">
        <w:rPr>
          <w:rFonts w:eastAsia="Arial" w:cs="Arial"/>
          <w:szCs w:val="24"/>
          <w:lang w:val="en-US"/>
        </w:rPr>
        <w:t xml:space="preserve">FDA - Food and Drug Administration. </w:t>
      </w:r>
      <w:r w:rsidRPr="003D66F2">
        <w:rPr>
          <w:rFonts w:eastAsia="Arial" w:cs="Arial"/>
          <w:b/>
          <w:szCs w:val="24"/>
          <w:lang w:val="en-US"/>
        </w:rPr>
        <w:t>Guideline for Industry</w:t>
      </w:r>
      <w:r w:rsidRPr="003D66F2">
        <w:rPr>
          <w:rFonts w:eastAsia="Arial" w:cs="Arial"/>
          <w:szCs w:val="24"/>
          <w:lang w:val="en-US"/>
        </w:rPr>
        <w:t xml:space="preserve">.  Detection of Toxicity to Reproduction for Medicinal Products. </w:t>
      </w:r>
      <w:r w:rsidRPr="00277E9E">
        <w:rPr>
          <w:rFonts w:eastAsia="Arial" w:cs="Arial"/>
          <w:szCs w:val="24"/>
        </w:rPr>
        <w:t xml:space="preserve">1994. Disponível em: &lt;http://www.fda.gov/downloads/Drugs/GuidanceComplianceRegulatoryInformation/Guidances/ucm074950.pdf&gt;.  </w:t>
      </w:r>
      <w:proofErr w:type="spellStart"/>
      <w:r w:rsidRPr="003D66F2">
        <w:rPr>
          <w:rFonts w:eastAsia="Arial" w:cs="Arial"/>
          <w:szCs w:val="24"/>
          <w:lang w:val="en-US"/>
        </w:rPr>
        <w:t>Acesso</w:t>
      </w:r>
      <w:proofErr w:type="spellEnd"/>
      <w:r w:rsidRPr="003D66F2">
        <w:rPr>
          <w:rFonts w:eastAsia="Arial" w:cs="Arial"/>
          <w:szCs w:val="24"/>
          <w:lang w:val="en-US"/>
        </w:rPr>
        <w:t xml:space="preserve"> </w:t>
      </w:r>
      <w:proofErr w:type="spellStart"/>
      <w:r w:rsidRPr="003D66F2">
        <w:rPr>
          <w:rFonts w:eastAsia="Arial" w:cs="Arial"/>
          <w:szCs w:val="24"/>
          <w:lang w:val="en-US"/>
        </w:rPr>
        <w:t>em</w:t>
      </w:r>
      <w:proofErr w:type="spellEnd"/>
      <w:r w:rsidRPr="003D66F2">
        <w:rPr>
          <w:rFonts w:eastAsia="Arial" w:cs="Arial"/>
          <w:szCs w:val="24"/>
          <w:lang w:val="en-US"/>
        </w:rPr>
        <w:t>: 02 abr. 2019.</w:t>
      </w:r>
    </w:p>
    <w:p w:rsidR="00277E9E" w:rsidRPr="00277E9E" w:rsidRDefault="00277E9E" w:rsidP="00277E9E">
      <w:pPr>
        <w:spacing w:after="240" w:line="240" w:lineRule="auto"/>
        <w:rPr>
          <w:rFonts w:eastAsia="Arial" w:cs="Arial"/>
          <w:szCs w:val="24"/>
        </w:rPr>
      </w:pPr>
      <w:r w:rsidRPr="003D66F2">
        <w:rPr>
          <w:rFonts w:eastAsia="Arial" w:cs="Arial"/>
          <w:szCs w:val="24"/>
          <w:lang w:val="en-US"/>
        </w:rPr>
        <w:t xml:space="preserve">FLEMING H.P., WALTER W.H.J., ETCHELLS J.L. Antimicrobial properties of </w:t>
      </w:r>
      <w:proofErr w:type="spellStart"/>
      <w:r w:rsidRPr="003D66F2">
        <w:rPr>
          <w:rFonts w:eastAsia="Arial" w:cs="Arial"/>
          <w:szCs w:val="24"/>
          <w:lang w:val="en-US"/>
        </w:rPr>
        <w:t>oleuropein</w:t>
      </w:r>
      <w:proofErr w:type="spellEnd"/>
      <w:r w:rsidRPr="003D66F2">
        <w:rPr>
          <w:rFonts w:eastAsia="Arial" w:cs="Arial"/>
          <w:szCs w:val="24"/>
          <w:lang w:val="en-US"/>
        </w:rPr>
        <w:t xml:space="preserve"> and products of its hydrolysis from green olives. </w:t>
      </w:r>
      <w:proofErr w:type="spellStart"/>
      <w:r w:rsidRPr="00277E9E">
        <w:rPr>
          <w:rFonts w:eastAsia="Arial" w:cs="Arial"/>
          <w:b/>
          <w:szCs w:val="24"/>
        </w:rPr>
        <w:t>Appl</w:t>
      </w:r>
      <w:proofErr w:type="spellEnd"/>
      <w:r w:rsidRPr="00277E9E">
        <w:rPr>
          <w:rFonts w:eastAsia="Arial" w:cs="Arial"/>
          <w:b/>
          <w:szCs w:val="24"/>
        </w:rPr>
        <w:t>. Microbiol</w:t>
      </w:r>
      <w:r w:rsidRPr="00277E9E">
        <w:rPr>
          <w:rFonts w:eastAsia="Arial" w:cs="Arial"/>
          <w:szCs w:val="24"/>
        </w:rPr>
        <w:t>.,26: 777-782. 1973.</w:t>
      </w:r>
    </w:p>
    <w:p w:rsidR="00277E9E" w:rsidRPr="003D66F2" w:rsidRDefault="00277E9E" w:rsidP="00277E9E">
      <w:pPr>
        <w:spacing w:after="240" w:line="240" w:lineRule="auto"/>
        <w:rPr>
          <w:rFonts w:eastAsia="Arial" w:cs="Arial"/>
          <w:szCs w:val="24"/>
          <w:lang w:val="en-US"/>
        </w:rPr>
      </w:pPr>
      <w:r w:rsidRPr="003D66F2">
        <w:rPr>
          <w:rFonts w:eastAsia="Arial" w:cs="Arial"/>
          <w:szCs w:val="24"/>
          <w:lang w:val="en-US"/>
        </w:rPr>
        <w:t xml:space="preserve">GOURAMA H., LETUTOUR B., TANTAOUI ELARAKI, A., BENBYA M., BULLERMAN L.B. Effects of </w:t>
      </w:r>
      <w:proofErr w:type="spellStart"/>
      <w:r w:rsidRPr="003D66F2">
        <w:rPr>
          <w:rFonts w:eastAsia="Arial" w:cs="Arial"/>
          <w:szCs w:val="24"/>
          <w:lang w:val="en-US"/>
        </w:rPr>
        <w:t>oleuropein</w:t>
      </w:r>
      <w:proofErr w:type="spellEnd"/>
      <w:r w:rsidRPr="003D66F2">
        <w:rPr>
          <w:rFonts w:eastAsia="Arial" w:cs="Arial"/>
          <w:szCs w:val="24"/>
          <w:lang w:val="en-US"/>
        </w:rPr>
        <w:t xml:space="preserve">, </w:t>
      </w:r>
      <w:proofErr w:type="spellStart"/>
      <w:r w:rsidRPr="003D66F2">
        <w:rPr>
          <w:rFonts w:eastAsia="Arial" w:cs="Arial"/>
          <w:szCs w:val="24"/>
          <w:lang w:val="en-US"/>
        </w:rPr>
        <w:t>tyrosol</w:t>
      </w:r>
      <w:proofErr w:type="spellEnd"/>
      <w:r w:rsidRPr="003D66F2">
        <w:rPr>
          <w:rFonts w:eastAsia="Arial" w:cs="Arial"/>
          <w:szCs w:val="24"/>
          <w:lang w:val="en-US"/>
        </w:rPr>
        <w:t xml:space="preserve"> and </w:t>
      </w:r>
      <w:proofErr w:type="spellStart"/>
      <w:r w:rsidRPr="003D66F2">
        <w:rPr>
          <w:rFonts w:eastAsia="Arial" w:cs="Arial"/>
          <w:szCs w:val="24"/>
          <w:lang w:val="en-US"/>
        </w:rPr>
        <w:t>caffeic</w:t>
      </w:r>
      <w:proofErr w:type="spellEnd"/>
      <w:r w:rsidRPr="003D66F2">
        <w:rPr>
          <w:rFonts w:eastAsia="Arial" w:cs="Arial"/>
          <w:szCs w:val="24"/>
          <w:lang w:val="en-US"/>
        </w:rPr>
        <w:t xml:space="preserve"> acid on the growth of mold isolated from olives. J. </w:t>
      </w:r>
      <w:r w:rsidRPr="003D66F2">
        <w:rPr>
          <w:rFonts w:eastAsia="Arial" w:cs="Arial"/>
          <w:b/>
          <w:szCs w:val="24"/>
          <w:lang w:val="en-US"/>
        </w:rPr>
        <w:t xml:space="preserve">Food </w:t>
      </w:r>
      <w:proofErr w:type="gramStart"/>
      <w:r w:rsidRPr="003D66F2">
        <w:rPr>
          <w:rFonts w:eastAsia="Arial" w:cs="Arial"/>
          <w:b/>
          <w:szCs w:val="24"/>
          <w:lang w:val="en-US"/>
        </w:rPr>
        <w:t>Protect</w:t>
      </w:r>
      <w:r w:rsidRPr="003D66F2">
        <w:rPr>
          <w:rFonts w:eastAsia="Arial" w:cs="Arial"/>
          <w:szCs w:val="24"/>
          <w:lang w:val="en-US"/>
        </w:rPr>
        <w:t>.,</w:t>
      </w:r>
      <w:proofErr w:type="gramEnd"/>
      <w:r w:rsidRPr="003D66F2">
        <w:rPr>
          <w:rFonts w:eastAsia="Arial" w:cs="Arial"/>
          <w:szCs w:val="24"/>
          <w:lang w:val="en-US"/>
        </w:rPr>
        <w:t xml:space="preserve"> 52: 264-266. 1989.</w:t>
      </w:r>
    </w:p>
    <w:p w:rsidR="00277E9E" w:rsidRPr="003D66F2" w:rsidRDefault="00277E9E" w:rsidP="00277E9E">
      <w:pPr>
        <w:spacing w:after="240" w:line="240" w:lineRule="auto"/>
        <w:rPr>
          <w:rFonts w:eastAsia="Arial" w:cs="Arial"/>
          <w:szCs w:val="24"/>
          <w:lang w:val="en-US"/>
        </w:rPr>
      </w:pPr>
      <w:r w:rsidRPr="003D66F2">
        <w:rPr>
          <w:rFonts w:eastAsia="Arial" w:cs="Arial"/>
          <w:szCs w:val="24"/>
          <w:lang w:val="en-US"/>
        </w:rPr>
        <w:t xml:space="preserve">HAYES, J. E., ALLEN, P., BRUNTON, N., O’GRADY, M. N., &amp; KERRY, J. P. Phenolic composition and in vitro antioxidant capacity of four commercial phytochemical products:  olive leaf extract (Olea europaea L.), lutein, </w:t>
      </w:r>
      <w:proofErr w:type="spellStart"/>
      <w:r w:rsidRPr="003D66F2">
        <w:rPr>
          <w:rFonts w:eastAsia="Arial" w:cs="Arial"/>
          <w:szCs w:val="24"/>
          <w:lang w:val="en-US"/>
        </w:rPr>
        <w:t>sesamol</w:t>
      </w:r>
      <w:proofErr w:type="spellEnd"/>
      <w:r w:rsidRPr="003D66F2">
        <w:rPr>
          <w:rFonts w:eastAsia="Arial" w:cs="Arial"/>
          <w:szCs w:val="24"/>
          <w:lang w:val="en-US"/>
        </w:rPr>
        <w:t xml:space="preserve"> and </w:t>
      </w:r>
      <w:proofErr w:type="spellStart"/>
      <w:r w:rsidRPr="003D66F2">
        <w:rPr>
          <w:rFonts w:eastAsia="Arial" w:cs="Arial"/>
          <w:szCs w:val="24"/>
          <w:lang w:val="en-US"/>
        </w:rPr>
        <w:t>ellagic</w:t>
      </w:r>
      <w:proofErr w:type="spellEnd"/>
      <w:r w:rsidRPr="003D66F2">
        <w:rPr>
          <w:rFonts w:eastAsia="Arial" w:cs="Arial"/>
          <w:szCs w:val="24"/>
          <w:lang w:val="en-US"/>
        </w:rPr>
        <w:t xml:space="preserve"> acid. </w:t>
      </w:r>
      <w:r w:rsidRPr="003D66F2">
        <w:rPr>
          <w:rFonts w:eastAsia="Arial" w:cs="Arial"/>
          <w:b/>
          <w:szCs w:val="24"/>
          <w:lang w:val="en-US"/>
        </w:rPr>
        <w:t>Food Chemistry</w:t>
      </w:r>
      <w:r w:rsidRPr="003D66F2">
        <w:rPr>
          <w:rFonts w:eastAsia="Arial" w:cs="Arial"/>
          <w:szCs w:val="24"/>
          <w:lang w:val="en-US"/>
        </w:rPr>
        <w:t xml:space="preserve">, v. 126, n. </w:t>
      </w:r>
      <w:proofErr w:type="gramStart"/>
      <w:r w:rsidRPr="003D66F2">
        <w:rPr>
          <w:rFonts w:eastAsia="Arial" w:cs="Arial"/>
          <w:szCs w:val="24"/>
          <w:lang w:val="en-US"/>
        </w:rPr>
        <w:t>3</w:t>
      </w:r>
      <w:proofErr w:type="gramEnd"/>
      <w:r w:rsidRPr="003D66F2">
        <w:rPr>
          <w:rFonts w:eastAsia="Arial" w:cs="Arial"/>
          <w:szCs w:val="24"/>
          <w:lang w:val="en-US"/>
        </w:rPr>
        <w:t>, p. 948-955, 2011.</w:t>
      </w:r>
    </w:p>
    <w:p w:rsidR="00277E9E" w:rsidRPr="003D66F2" w:rsidRDefault="00277E9E" w:rsidP="00277E9E">
      <w:pPr>
        <w:spacing w:after="240" w:line="240" w:lineRule="auto"/>
        <w:rPr>
          <w:rFonts w:eastAsia="Arial" w:cs="Arial"/>
          <w:szCs w:val="24"/>
          <w:lang w:val="en-US"/>
        </w:rPr>
      </w:pPr>
      <w:r w:rsidRPr="003D66F2">
        <w:rPr>
          <w:rFonts w:cs="Arial"/>
          <w:color w:val="222222"/>
          <w:szCs w:val="24"/>
          <w:shd w:val="clear" w:color="auto" w:fill="FFFFFF"/>
          <w:lang w:val="en-US"/>
        </w:rPr>
        <w:t xml:space="preserve">HUSSAIN, A. I. et al. Composition, antioxidant and chemotherapeutic properties of the essential oils from </w:t>
      </w:r>
      <w:proofErr w:type="gramStart"/>
      <w:r w:rsidRPr="003D66F2">
        <w:rPr>
          <w:rFonts w:cs="Arial"/>
          <w:color w:val="222222"/>
          <w:szCs w:val="24"/>
          <w:shd w:val="clear" w:color="auto" w:fill="FFFFFF"/>
          <w:lang w:val="en-US"/>
        </w:rPr>
        <w:t>two</w:t>
      </w:r>
      <w:proofErr w:type="gramEnd"/>
      <w:r w:rsidRPr="003D66F2">
        <w:rPr>
          <w:rFonts w:cs="Arial"/>
          <w:color w:val="222222"/>
          <w:szCs w:val="24"/>
          <w:shd w:val="clear" w:color="auto" w:fill="FFFFFF"/>
          <w:lang w:val="en-US"/>
        </w:rPr>
        <w:t xml:space="preserve"> </w:t>
      </w:r>
      <w:proofErr w:type="spellStart"/>
      <w:r w:rsidRPr="003D66F2">
        <w:rPr>
          <w:rFonts w:cs="Arial"/>
          <w:color w:val="222222"/>
          <w:szCs w:val="24"/>
          <w:shd w:val="clear" w:color="auto" w:fill="FFFFFF"/>
          <w:lang w:val="en-US"/>
        </w:rPr>
        <w:t>Origanum</w:t>
      </w:r>
      <w:proofErr w:type="spellEnd"/>
      <w:r w:rsidRPr="003D66F2">
        <w:rPr>
          <w:rFonts w:cs="Arial"/>
          <w:color w:val="222222"/>
          <w:szCs w:val="24"/>
          <w:shd w:val="clear" w:color="auto" w:fill="FFFFFF"/>
          <w:lang w:val="en-US"/>
        </w:rPr>
        <w:t xml:space="preserve"> species growing in Pakistan. </w:t>
      </w:r>
      <w:proofErr w:type="spellStart"/>
      <w:r w:rsidRPr="003D66F2">
        <w:rPr>
          <w:rFonts w:cs="Arial"/>
          <w:b/>
          <w:bCs/>
          <w:color w:val="222222"/>
          <w:szCs w:val="24"/>
          <w:shd w:val="clear" w:color="auto" w:fill="FFFFFF"/>
          <w:lang w:val="en-US"/>
        </w:rPr>
        <w:t>Revista</w:t>
      </w:r>
      <w:proofErr w:type="spellEnd"/>
      <w:r w:rsidRPr="003D66F2">
        <w:rPr>
          <w:rFonts w:cs="Arial"/>
          <w:b/>
          <w:bCs/>
          <w:color w:val="222222"/>
          <w:szCs w:val="24"/>
          <w:shd w:val="clear" w:color="auto" w:fill="FFFFFF"/>
          <w:lang w:val="en-US"/>
        </w:rPr>
        <w:t xml:space="preserve"> </w:t>
      </w:r>
      <w:proofErr w:type="spellStart"/>
      <w:r w:rsidRPr="003D66F2">
        <w:rPr>
          <w:rFonts w:cs="Arial"/>
          <w:b/>
          <w:bCs/>
          <w:color w:val="222222"/>
          <w:szCs w:val="24"/>
          <w:shd w:val="clear" w:color="auto" w:fill="FFFFFF"/>
          <w:lang w:val="en-US"/>
        </w:rPr>
        <w:t>Brasileira</w:t>
      </w:r>
      <w:proofErr w:type="spellEnd"/>
      <w:r w:rsidRPr="003D66F2">
        <w:rPr>
          <w:rFonts w:cs="Arial"/>
          <w:b/>
          <w:bCs/>
          <w:color w:val="222222"/>
          <w:szCs w:val="24"/>
          <w:shd w:val="clear" w:color="auto" w:fill="FFFFFF"/>
          <w:lang w:val="en-US"/>
        </w:rPr>
        <w:t xml:space="preserve"> de </w:t>
      </w:r>
      <w:proofErr w:type="spellStart"/>
      <w:r w:rsidRPr="003D66F2">
        <w:rPr>
          <w:rFonts w:cs="Arial"/>
          <w:b/>
          <w:bCs/>
          <w:color w:val="222222"/>
          <w:szCs w:val="24"/>
          <w:shd w:val="clear" w:color="auto" w:fill="FFFFFF"/>
          <w:lang w:val="en-US"/>
        </w:rPr>
        <w:t>Farmacognosia</w:t>
      </w:r>
      <w:proofErr w:type="spellEnd"/>
      <w:r w:rsidRPr="003D66F2">
        <w:rPr>
          <w:rFonts w:cs="Arial"/>
          <w:color w:val="222222"/>
          <w:szCs w:val="24"/>
          <w:shd w:val="clear" w:color="auto" w:fill="FFFFFF"/>
          <w:lang w:val="en-US"/>
        </w:rPr>
        <w:t xml:space="preserve">, v. 21, n. </w:t>
      </w:r>
      <w:proofErr w:type="gramStart"/>
      <w:r w:rsidRPr="003D66F2">
        <w:rPr>
          <w:rFonts w:cs="Arial"/>
          <w:color w:val="222222"/>
          <w:szCs w:val="24"/>
          <w:shd w:val="clear" w:color="auto" w:fill="FFFFFF"/>
          <w:lang w:val="en-US"/>
        </w:rPr>
        <w:t>6</w:t>
      </w:r>
      <w:proofErr w:type="gramEnd"/>
      <w:r w:rsidRPr="003D66F2">
        <w:rPr>
          <w:rFonts w:cs="Arial"/>
          <w:color w:val="222222"/>
          <w:szCs w:val="24"/>
          <w:shd w:val="clear" w:color="auto" w:fill="FFFFFF"/>
          <w:lang w:val="en-US"/>
        </w:rPr>
        <w:t>, p. 943-952, 2011.</w:t>
      </w:r>
    </w:p>
    <w:p w:rsidR="00277E9E" w:rsidRPr="003D66F2" w:rsidRDefault="00277E9E" w:rsidP="00277E9E">
      <w:pPr>
        <w:spacing w:after="240" w:line="240" w:lineRule="auto"/>
        <w:rPr>
          <w:rFonts w:eastAsia="Arial" w:cs="Arial"/>
          <w:szCs w:val="24"/>
          <w:lang w:val="en-US"/>
        </w:rPr>
      </w:pPr>
      <w:r w:rsidRPr="003D66F2">
        <w:rPr>
          <w:rFonts w:eastAsia="Arial" w:cs="Arial"/>
          <w:szCs w:val="24"/>
          <w:lang w:val="en-US"/>
        </w:rPr>
        <w:t xml:space="preserve">JUVEN, B., HENIS, Y. Studies on antimicrobial activity of olive phenolic compounds. </w:t>
      </w:r>
      <w:r w:rsidRPr="003D66F2">
        <w:rPr>
          <w:rFonts w:eastAsia="Arial" w:cs="Arial"/>
          <w:b/>
          <w:szCs w:val="24"/>
          <w:lang w:val="en-US"/>
        </w:rPr>
        <w:t xml:space="preserve">J. Appl. </w:t>
      </w:r>
      <w:proofErr w:type="spellStart"/>
      <w:r w:rsidRPr="003D66F2">
        <w:rPr>
          <w:rFonts w:eastAsia="Arial" w:cs="Arial"/>
          <w:b/>
          <w:szCs w:val="24"/>
          <w:lang w:val="en-US"/>
        </w:rPr>
        <w:t>Bacteriol</w:t>
      </w:r>
      <w:proofErr w:type="spellEnd"/>
      <w:r w:rsidRPr="003D66F2">
        <w:rPr>
          <w:rFonts w:eastAsia="Arial" w:cs="Arial"/>
          <w:szCs w:val="24"/>
          <w:lang w:val="en-US"/>
        </w:rPr>
        <w:t>., 33: 721-732, 1970.</w:t>
      </w:r>
    </w:p>
    <w:p w:rsidR="00277E9E" w:rsidRPr="003D66F2" w:rsidRDefault="00277E9E" w:rsidP="00277E9E">
      <w:pPr>
        <w:spacing w:after="240" w:line="240" w:lineRule="auto"/>
        <w:rPr>
          <w:rFonts w:eastAsia="Arial" w:cs="Arial"/>
          <w:szCs w:val="24"/>
          <w:lang w:val="en-US"/>
        </w:rPr>
      </w:pPr>
      <w:r w:rsidRPr="003D66F2">
        <w:rPr>
          <w:rFonts w:eastAsia="Arial" w:cs="Arial"/>
          <w:szCs w:val="24"/>
          <w:lang w:val="en-US"/>
        </w:rPr>
        <w:t xml:space="preserve">KORUKLUOGLU M., SAHAN Y., YIGIT A., TUMAY OZER E., GUCER S. In vitro antibacterial activity of olive leaf (Olea europaea L.) extracts and their chemical characterization. </w:t>
      </w:r>
      <w:proofErr w:type="spellStart"/>
      <w:r w:rsidRPr="003D66F2">
        <w:rPr>
          <w:rFonts w:eastAsia="Arial" w:cs="Arial"/>
          <w:szCs w:val="24"/>
          <w:lang w:val="en-US"/>
        </w:rPr>
        <w:t>KusadasI</w:t>
      </w:r>
      <w:proofErr w:type="spellEnd"/>
      <w:r w:rsidRPr="003D66F2">
        <w:rPr>
          <w:rFonts w:eastAsia="Arial" w:cs="Arial"/>
          <w:szCs w:val="24"/>
          <w:lang w:val="en-US"/>
        </w:rPr>
        <w:t xml:space="preserve">-Aydin, </w:t>
      </w:r>
      <w:proofErr w:type="gramStart"/>
      <w:r w:rsidRPr="003D66F2">
        <w:rPr>
          <w:rFonts w:eastAsia="Arial" w:cs="Arial"/>
          <w:b/>
          <w:szCs w:val="24"/>
          <w:lang w:val="en-US"/>
        </w:rPr>
        <w:t>4th</w:t>
      </w:r>
      <w:proofErr w:type="gramEnd"/>
      <w:r w:rsidRPr="003D66F2">
        <w:rPr>
          <w:rFonts w:eastAsia="Arial" w:cs="Arial"/>
          <w:b/>
          <w:szCs w:val="24"/>
          <w:lang w:val="en-US"/>
        </w:rPr>
        <w:t xml:space="preserve"> Aegean Analytical Chemistry Days</w:t>
      </w:r>
      <w:r w:rsidRPr="003D66F2">
        <w:rPr>
          <w:rFonts w:eastAsia="Arial" w:cs="Arial"/>
          <w:szCs w:val="24"/>
          <w:lang w:val="en-US"/>
        </w:rPr>
        <w:t>, Turkey. 2004.</w:t>
      </w:r>
    </w:p>
    <w:p w:rsidR="00277E9E" w:rsidRPr="003D66F2" w:rsidRDefault="00277E9E" w:rsidP="00277E9E">
      <w:pPr>
        <w:autoSpaceDE w:val="0"/>
        <w:autoSpaceDN w:val="0"/>
        <w:adjustRightInd w:val="0"/>
        <w:spacing w:after="240" w:line="240" w:lineRule="auto"/>
        <w:rPr>
          <w:rFonts w:cs="Arial"/>
          <w:szCs w:val="24"/>
          <w:lang w:val="en-US"/>
        </w:rPr>
      </w:pPr>
      <w:r w:rsidRPr="003D66F2">
        <w:rPr>
          <w:rFonts w:cs="Arial"/>
          <w:szCs w:val="24"/>
          <w:lang w:val="en-US"/>
        </w:rPr>
        <w:lastRenderedPageBreak/>
        <w:t xml:space="preserve">LAPPONI, J.C. </w:t>
      </w:r>
      <w:proofErr w:type="spellStart"/>
      <w:r w:rsidRPr="003D66F2">
        <w:rPr>
          <w:rFonts w:cs="Arial"/>
          <w:bCs/>
          <w:szCs w:val="24"/>
          <w:lang w:val="en-US"/>
        </w:rPr>
        <w:t>Estatística</w:t>
      </w:r>
      <w:proofErr w:type="spellEnd"/>
      <w:r w:rsidRPr="003D66F2">
        <w:rPr>
          <w:rFonts w:cs="Arial"/>
          <w:bCs/>
          <w:szCs w:val="24"/>
          <w:lang w:val="en-US"/>
        </w:rPr>
        <w:t xml:space="preserve"> </w:t>
      </w:r>
      <w:proofErr w:type="spellStart"/>
      <w:r w:rsidRPr="003D66F2">
        <w:rPr>
          <w:rFonts w:cs="Arial"/>
          <w:bCs/>
          <w:szCs w:val="24"/>
          <w:lang w:val="en-US"/>
        </w:rPr>
        <w:t>Usando</w:t>
      </w:r>
      <w:proofErr w:type="spellEnd"/>
      <w:r w:rsidRPr="003D66F2">
        <w:rPr>
          <w:rFonts w:cs="Arial"/>
          <w:bCs/>
          <w:szCs w:val="24"/>
          <w:lang w:val="en-US"/>
        </w:rPr>
        <w:t xml:space="preserve"> Excel</w:t>
      </w:r>
      <w:r w:rsidRPr="003D66F2">
        <w:rPr>
          <w:rFonts w:cs="Arial"/>
          <w:szCs w:val="24"/>
          <w:lang w:val="en-US"/>
        </w:rPr>
        <w:t xml:space="preserve">. </w:t>
      </w:r>
      <w:r w:rsidRPr="00277E9E">
        <w:rPr>
          <w:rFonts w:cs="Arial"/>
          <w:szCs w:val="24"/>
        </w:rPr>
        <w:t xml:space="preserve">São Paulo: </w:t>
      </w:r>
      <w:proofErr w:type="spellStart"/>
      <w:r w:rsidRPr="00277E9E">
        <w:rPr>
          <w:rFonts w:cs="Arial"/>
          <w:b/>
          <w:szCs w:val="24"/>
        </w:rPr>
        <w:t>Lapponi</w:t>
      </w:r>
      <w:proofErr w:type="spellEnd"/>
      <w:r w:rsidRPr="00277E9E">
        <w:rPr>
          <w:rFonts w:cs="Arial"/>
          <w:b/>
          <w:szCs w:val="24"/>
        </w:rPr>
        <w:t xml:space="preserve"> Treinamento e Editora</w:t>
      </w:r>
      <w:r w:rsidRPr="00277E9E">
        <w:rPr>
          <w:rFonts w:cs="Arial"/>
          <w:szCs w:val="24"/>
        </w:rPr>
        <w:t xml:space="preserve">, 2000. </w:t>
      </w:r>
      <w:r w:rsidRPr="003D66F2">
        <w:rPr>
          <w:rFonts w:cs="Arial"/>
          <w:szCs w:val="24"/>
          <w:lang w:val="en-US"/>
        </w:rPr>
        <w:t xml:space="preserve">451p. </w:t>
      </w:r>
    </w:p>
    <w:p w:rsidR="00277E9E" w:rsidRPr="00FD322F" w:rsidRDefault="00277E9E" w:rsidP="00277E9E">
      <w:pPr>
        <w:spacing w:after="240" w:line="240" w:lineRule="auto"/>
        <w:rPr>
          <w:rFonts w:eastAsia="Arial" w:cs="Arial"/>
          <w:szCs w:val="24"/>
        </w:rPr>
      </w:pPr>
      <w:r w:rsidRPr="003D66F2">
        <w:rPr>
          <w:rFonts w:eastAsia="Arial" w:cs="Arial"/>
          <w:szCs w:val="24"/>
          <w:lang w:val="en-US"/>
        </w:rPr>
        <w:t xml:space="preserve">LEE, O. H. et al. Assessment of phenolic-enriched extract and fraction of olive leaves and their </w:t>
      </w:r>
      <w:proofErr w:type="spellStart"/>
      <w:r w:rsidRPr="003D66F2">
        <w:rPr>
          <w:rFonts w:eastAsia="Arial" w:cs="Arial"/>
          <w:szCs w:val="24"/>
          <w:lang w:val="en-US"/>
        </w:rPr>
        <w:t>antioxidante</w:t>
      </w:r>
      <w:proofErr w:type="spellEnd"/>
      <w:r w:rsidRPr="003D66F2">
        <w:rPr>
          <w:rFonts w:eastAsia="Arial" w:cs="Arial"/>
          <w:szCs w:val="24"/>
          <w:lang w:val="en-US"/>
        </w:rPr>
        <w:t xml:space="preserve"> activities. </w:t>
      </w:r>
      <w:proofErr w:type="spellStart"/>
      <w:r w:rsidRPr="00FD322F">
        <w:rPr>
          <w:rFonts w:eastAsia="Arial" w:cs="Arial"/>
          <w:b/>
          <w:szCs w:val="24"/>
        </w:rPr>
        <w:t>Bioresour</w:t>
      </w:r>
      <w:proofErr w:type="spellEnd"/>
      <w:r w:rsidRPr="00FD322F">
        <w:rPr>
          <w:rFonts w:eastAsia="Arial" w:cs="Arial"/>
          <w:b/>
          <w:szCs w:val="24"/>
        </w:rPr>
        <w:t xml:space="preserve">. </w:t>
      </w:r>
      <w:proofErr w:type="spellStart"/>
      <w:proofErr w:type="gramStart"/>
      <w:r w:rsidRPr="00FD322F">
        <w:rPr>
          <w:rFonts w:eastAsia="Arial" w:cs="Arial"/>
          <w:b/>
          <w:szCs w:val="24"/>
        </w:rPr>
        <w:t>Technol</w:t>
      </w:r>
      <w:proofErr w:type="spellEnd"/>
      <w:r w:rsidRPr="00FD322F">
        <w:rPr>
          <w:rFonts w:eastAsia="Arial" w:cs="Arial"/>
          <w:szCs w:val="24"/>
        </w:rPr>
        <w:t>.,</w:t>
      </w:r>
      <w:proofErr w:type="gramEnd"/>
      <w:r w:rsidRPr="00FD322F">
        <w:rPr>
          <w:rFonts w:eastAsia="Arial" w:cs="Arial"/>
          <w:szCs w:val="24"/>
        </w:rPr>
        <w:t xml:space="preserve"> v. 100, n. 23, p. 6107-6113, 2009.</w:t>
      </w:r>
    </w:p>
    <w:p w:rsidR="00277E9E" w:rsidRPr="00277E9E" w:rsidRDefault="00277E9E" w:rsidP="00277E9E">
      <w:pPr>
        <w:spacing w:after="240" w:line="240" w:lineRule="auto"/>
        <w:rPr>
          <w:rFonts w:eastAsia="Arial" w:cs="Arial"/>
          <w:szCs w:val="24"/>
        </w:rPr>
      </w:pPr>
      <w:r w:rsidRPr="00277E9E">
        <w:rPr>
          <w:rFonts w:eastAsia="Arial" w:cs="Arial"/>
          <w:szCs w:val="24"/>
        </w:rPr>
        <w:t xml:space="preserve">LEMONICA, I. P. </w:t>
      </w:r>
      <w:proofErr w:type="spellStart"/>
      <w:r w:rsidRPr="00277E9E">
        <w:rPr>
          <w:rFonts w:eastAsia="Arial" w:cs="Arial"/>
          <w:szCs w:val="24"/>
        </w:rPr>
        <w:t>Teratogênese</w:t>
      </w:r>
      <w:proofErr w:type="spellEnd"/>
      <w:r w:rsidRPr="00277E9E">
        <w:rPr>
          <w:rFonts w:eastAsia="Arial" w:cs="Arial"/>
          <w:szCs w:val="24"/>
        </w:rPr>
        <w:t xml:space="preserve"> experimental e sua aplicação em humanos. In: SPRITZER, D. T.; SANSEVERINO, M. T. V.; SCHÜLER-FACCINI, L. </w:t>
      </w:r>
      <w:r w:rsidRPr="00277E9E">
        <w:rPr>
          <w:rFonts w:eastAsia="Arial" w:cs="Arial"/>
          <w:b/>
          <w:szCs w:val="24"/>
        </w:rPr>
        <w:t xml:space="preserve">Manual de </w:t>
      </w:r>
      <w:proofErr w:type="spellStart"/>
      <w:r w:rsidRPr="00277E9E">
        <w:rPr>
          <w:rFonts w:eastAsia="Arial" w:cs="Arial"/>
          <w:b/>
          <w:szCs w:val="24"/>
        </w:rPr>
        <w:t>teratogênese</w:t>
      </w:r>
      <w:proofErr w:type="spellEnd"/>
      <w:r w:rsidRPr="00277E9E">
        <w:rPr>
          <w:rFonts w:eastAsia="Arial" w:cs="Arial"/>
          <w:szCs w:val="24"/>
        </w:rPr>
        <w:t>. Porto Alegre: Editora da UFRGS, 2001.</w:t>
      </w:r>
    </w:p>
    <w:p w:rsidR="00277E9E" w:rsidRPr="00277E9E" w:rsidRDefault="00277E9E" w:rsidP="00277E9E">
      <w:pPr>
        <w:spacing w:after="240" w:line="240" w:lineRule="auto"/>
        <w:rPr>
          <w:rFonts w:eastAsia="Arial" w:cs="Arial"/>
          <w:szCs w:val="24"/>
        </w:rPr>
      </w:pPr>
      <w:r w:rsidRPr="003D66F2">
        <w:rPr>
          <w:rFonts w:eastAsia="Arial" w:cs="Arial"/>
          <w:szCs w:val="24"/>
          <w:lang w:val="en-US"/>
        </w:rPr>
        <w:t xml:space="preserve">MCDONALD S., PRENZLER P.D., ANTOLOVICH M., ROBARDS </w:t>
      </w:r>
      <w:proofErr w:type="spellStart"/>
      <w:r w:rsidRPr="003D66F2">
        <w:rPr>
          <w:rFonts w:eastAsia="Arial" w:cs="Arial"/>
          <w:szCs w:val="24"/>
          <w:lang w:val="en-US"/>
        </w:rPr>
        <w:t>K.Phenolic</w:t>
      </w:r>
      <w:proofErr w:type="spellEnd"/>
      <w:r w:rsidRPr="003D66F2">
        <w:rPr>
          <w:rFonts w:eastAsia="Arial" w:cs="Arial"/>
          <w:szCs w:val="24"/>
          <w:lang w:val="en-US"/>
        </w:rPr>
        <w:t xml:space="preserve"> content and antioxidant activity of olive extracts. </w:t>
      </w:r>
      <w:proofErr w:type="spellStart"/>
      <w:r w:rsidRPr="00277E9E">
        <w:rPr>
          <w:rFonts w:eastAsia="Arial" w:cs="Arial"/>
          <w:b/>
          <w:szCs w:val="24"/>
        </w:rPr>
        <w:t>Food</w:t>
      </w:r>
      <w:proofErr w:type="spellEnd"/>
      <w:r w:rsidRPr="00277E9E">
        <w:rPr>
          <w:rFonts w:eastAsia="Arial" w:cs="Arial"/>
          <w:b/>
          <w:szCs w:val="24"/>
        </w:rPr>
        <w:t xml:space="preserve"> </w:t>
      </w:r>
      <w:proofErr w:type="spellStart"/>
      <w:proofErr w:type="gramStart"/>
      <w:r w:rsidRPr="00277E9E">
        <w:rPr>
          <w:rFonts w:eastAsia="Arial" w:cs="Arial"/>
          <w:b/>
          <w:szCs w:val="24"/>
        </w:rPr>
        <w:t>Chem</w:t>
      </w:r>
      <w:proofErr w:type="spellEnd"/>
      <w:r w:rsidRPr="00277E9E">
        <w:rPr>
          <w:rFonts w:eastAsia="Arial" w:cs="Arial"/>
          <w:b/>
          <w:szCs w:val="24"/>
        </w:rPr>
        <w:t>.,</w:t>
      </w:r>
      <w:proofErr w:type="gramEnd"/>
      <w:r w:rsidRPr="00277E9E">
        <w:rPr>
          <w:rFonts w:eastAsia="Arial" w:cs="Arial"/>
          <w:b/>
          <w:szCs w:val="24"/>
        </w:rPr>
        <w:t xml:space="preserve"> </w:t>
      </w:r>
      <w:r w:rsidRPr="00277E9E">
        <w:rPr>
          <w:rFonts w:eastAsia="Arial" w:cs="Arial"/>
          <w:szCs w:val="24"/>
        </w:rPr>
        <w:t>73: 73-84. 2001.</w:t>
      </w:r>
    </w:p>
    <w:p w:rsidR="00277E9E" w:rsidRPr="00277E9E" w:rsidRDefault="00277E9E" w:rsidP="00277E9E">
      <w:pPr>
        <w:spacing w:after="240" w:line="240" w:lineRule="auto"/>
        <w:rPr>
          <w:rFonts w:eastAsia="Arial" w:cs="Arial"/>
          <w:szCs w:val="24"/>
        </w:rPr>
      </w:pPr>
      <w:r w:rsidRPr="003D66F2">
        <w:rPr>
          <w:rFonts w:eastAsia="Arial" w:cs="Arial"/>
          <w:szCs w:val="24"/>
          <w:lang w:val="en-US"/>
        </w:rPr>
        <w:t xml:space="preserve">MARKIN, D., DUEK, L., BERDICEVSKY, I. In vitro antimicrobial activity of </w:t>
      </w:r>
      <w:proofErr w:type="gramStart"/>
      <w:r w:rsidRPr="003D66F2">
        <w:rPr>
          <w:rFonts w:eastAsia="Arial" w:cs="Arial"/>
          <w:szCs w:val="24"/>
          <w:lang w:val="en-US"/>
        </w:rPr>
        <w:t>olive  leaves</w:t>
      </w:r>
      <w:proofErr w:type="gramEnd"/>
      <w:r w:rsidRPr="003D66F2">
        <w:rPr>
          <w:rFonts w:eastAsia="Arial" w:cs="Arial"/>
          <w:szCs w:val="24"/>
          <w:lang w:val="en-US"/>
        </w:rPr>
        <w:t xml:space="preserve">. </w:t>
      </w:r>
      <w:proofErr w:type="spellStart"/>
      <w:r w:rsidRPr="00277E9E">
        <w:rPr>
          <w:rFonts w:eastAsia="Arial" w:cs="Arial"/>
          <w:b/>
          <w:szCs w:val="24"/>
        </w:rPr>
        <w:t>Mycoses</w:t>
      </w:r>
      <w:proofErr w:type="spellEnd"/>
      <w:r w:rsidRPr="00277E9E">
        <w:rPr>
          <w:rFonts w:eastAsia="Arial" w:cs="Arial"/>
          <w:szCs w:val="24"/>
        </w:rPr>
        <w:t>, v. 46, n. 3-4, p. 132-136, 2003.</w:t>
      </w:r>
    </w:p>
    <w:p w:rsidR="00277E9E" w:rsidRPr="003D66F2" w:rsidRDefault="00277E9E" w:rsidP="00277E9E">
      <w:pPr>
        <w:spacing w:after="240" w:line="240" w:lineRule="auto"/>
        <w:rPr>
          <w:rFonts w:eastAsia="Arial" w:cs="Arial"/>
          <w:szCs w:val="24"/>
          <w:lang w:val="en-US"/>
        </w:rPr>
      </w:pPr>
      <w:r w:rsidRPr="00277E9E">
        <w:rPr>
          <w:rFonts w:eastAsia="Arial" w:cs="Arial"/>
          <w:szCs w:val="24"/>
        </w:rPr>
        <w:t xml:space="preserve">MELLO, L. D.; PINHEIRO, M. F. ASPECTOS FÍSICO-QUÍMICOS DE AZEITES DE OLIVA E DE FOLHAS DE OLIVEIRA PROVENIENTES DE CULTIVARES DO RS, BRASIL. </w:t>
      </w:r>
      <w:r w:rsidRPr="003D66F2">
        <w:rPr>
          <w:rFonts w:eastAsia="Arial" w:cs="Arial"/>
          <w:b/>
          <w:szCs w:val="24"/>
          <w:lang w:val="en-US"/>
        </w:rPr>
        <w:t>Brazilian Journal of Food &amp; Nutrition</w:t>
      </w:r>
      <w:r w:rsidRPr="003D66F2">
        <w:rPr>
          <w:rFonts w:eastAsia="Arial" w:cs="Arial"/>
          <w:szCs w:val="24"/>
          <w:lang w:val="en-US"/>
        </w:rPr>
        <w:t>/</w:t>
      </w:r>
      <w:proofErr w:type="spellStart"/>
      <w:r w:rsidRPr="003D66F2">
        <w:rPr>
          <w:rFonts w:eastAsia="Arial" w:cs="Arial"/>
          <w:szCs w:val="24"/>
          <w:lang w:val="en-US"/>
        </w:rPr>
        <w:t>Alimentos</w:t>
      </w:r>
      <w:proofErr w:type="spellEnd"/>
      <w:r w:rsidRPr="003D66F2">
        <w:rPr>
          <w:rFonts w:eastAsia="Arial" w:cs="Arial"/>
          <w:szCs w:val="24"/>
          <w:lang w:val="en-US"/>
        </w:rPr>
        <w:t xml:space="preserve"> e </w:t>
      </w:r>
      <w:proofErr w:type="spellStart"/>
      <w:r w:rsidRPr="003D66F2">
        <w:rPr>
          <w:rFonts w:eastAsia="Arial" w:cs="Arial"/>
          <w:szCs w:val="24"/>
          <w:lang w:val="en-US"/>
        </w:rPr>
        <w:t>Nutrição</w:t>
      </w:r>
      <w:proofErr w:type="spellEnd"/>
      <w:r w:rsidRPr="003D66F2">
        <w:rPr>
          <w:rFonts w:eastAsia="Arial" w:cs="Arial"/>
          <w:szCs w:val="24"/>
          <w:lang w:val="en-US"/>
        </w:rPr>
        <w:t>, v. 23, n. 4, 2012.</w:t>
      </w:r>
    </w:p>
    <w:p w:rsidR="00277E9E" w:rsidRPr="00277E9E" w:rsidRDefault="00277E9E" w:rsidP="00277E9E">
      <w:pPr>
        <w:spacing w:after="240" w:line="240" w:lineRule="auto"/>
        <w:rPr>
          <w:rFonts w:eastAsia="Arial" w:cs="Arial"/>
          <w:szCs w:val="24"/>
        </w:rPr>
      </w:pPr>
      <w:r w:rsidRPr="00277E9E">
        <w:rPr>
          <w:rFonts w:eastAsia="Arial" w:cs="Arial"/>
          <w:szCs w:val="24"/>
        </w:rPr>
        <w:t xml:space="preserve">MELLO, M.S.C.  Avaliação da toxicidade reprodutiva do pesticida </w:t>
      </w:r>
      <w:proofErr w:type="spellStart"/>
      <w:r w:rsidRPr="00277E9E">
        <w:rPr>
          <w:rFonts w:eastAsia="Arial" w:cs="Arial"/>
          <w:szCs w:val="24"/>
        </w:rPr>
        <w:t>trifenil</w:t>
      </w:r>
      <w:proofErr w:type="spellEnd"/>
      <w:r w:rsidRPr="00277E9E">
        <w:rPr>
          <w:rFonts w:eastAsia="Arial" w:cs="Arial"/>
          <w:szCs w:val="24"/>
        </w:rPr>
        <w:t xml:space="preserve"> hidróxido de estanho (TPTH) em camundongos.</w:t>
      </w:r>
      <w:r w:rsidRPr="00277E9E">
        <w:rPr>
          <w:rFonts w:eastAsia="Arial" w:cs="Arial"/>
          <w:b/>
          <w:szCs w:val="24"/>
        </w:rPr>
        <w:t xml:space="preserve"> </w:t>
      </w:r>
      <w:r w:rsidRPr="00277E9E">
        <w:rPr>
          <w:rFonts w:eastAsia="Arial" w:cs="Arial"/>
          <w:szCs w:val="24"/>
        </w:rPr>
        <w:t>131f.</w:t>
      </w:r>
      <w:r w:rsidRPr="00277E9E">
        <w:rPr>
          <w:rFonts w:eastAsia="Arial" w:cs="Arial"/>
          <w:b/>
          <w:szCs w:val="24"/>
        </w:rPr>
        <w:t>Tese de Doutorado em Vigilância Sanitária, Fundação Oswaldo Cruz</w:t>
      </w:r>
      <w:r w:rsidRPr="00277E9E">
        <w:rPr>
          <w:rFonts w:eastAsia="Arial" w:cs="Arial"/>
          <w:szCs w:val="24"/>
        </w:rPr>
        <w:t>, Rio de Janeiro/RJ, 2007.</w:t>
      </w:r>
    </w:p>
    <w:p w:rsidR="00277E9E" w:rsidRPr="00277E9E" w:rsidRDefault="00277E9E" w:rsidP="00277E9E">
      <w:pPr>
        <w:spacing w:after="240" w:line="240" w:lineRule="auto"/>
        <w:rPr>
          <w:rFonts w:eastAsia="Arial" w:cs="Arial"/>
          <w:szCs w:val="24"/>
        </w:rPr>
      </w:pPr>
      <w:r w:rsidRPr="00277E9E">
        <w:rPr>
          <w:rFonts w:eastAsia="Arial" w:cs="Arial"/>
          <w:szCs w:val="24"/>
        </w:rPr>
        <w:t xml:space="preserve">MICOL V., CATURLA N., PÈREZ-FONS L., MÁS V., PÈREZ ESTEPA A. The </w:t>
      </w:r>
      <w:proofErr w:type="spellStart"/>
      <w:r w:rsidRPr="00277E9E">
        <w:rPr>
          <w:rFonts w:eastAsia="Arial" w:cs="Arial"/>
          <w:szCs w:val="24"/>
        </w:rPr>
        <w:t>olive</w:t>
      </w:r>
      <w:proofErr w:type="spellEnd"/>
      <w:r w:rsidRPr="00277E9E">
        <w:rPr>
          <w:rFonts w:eastAsia="Arial" w:cs="Arial"/>
          <w:szCs w:val="24"/>
        </w:rPr>
        <w:t xml:space="preserve"> </w:t>
      </w:r>
      <w:proofErr w:type="spellStart"/>
      <w:r w:rsidRPr="00277E9E">
        <w:rPr>
          <w:rFonts w:eastAsia="Arial" w:cs="Arial"/>
          <w:szCs w:val="24"/>
        </w:rPr>
        <w:t>leaf</w:t>
      </w:r>
      <w:proofErr w:type="spellEnd"/>
      <w:r w:rsidRPr="00277E9E">
        <w:rPr>
          <w:rFonts w:eastAsia="Arial" w:cs="Arial"/>
          <w:szCs w:val="24"/>
        </w:rPr>
        <w:t xml:space="preserve"> </w:t>
      </w:r>
      <w:proofErr w:type="spellStart"/>
      <w:r w:rsidRPr="00277E9E">
        <w:rPr>
          <w:rFonts w:eastAsia="Arial" w:cs="Arial"/>
          <w:szCs w:val="24"/>
        </w:rPr>
        <w:t>extract</w:t>
      </w:r>
      <w:proofErr w:type="spellEnd"/>
      <w:r w:rsidRPr="00277E9E">
        <w:rPr>
          <w:rFonts w:eastAsia="Arial" w:cs="Arial"/>
          <w:szCs w:val="24"/>
        </w:rPr>
        <w:t xml:space="preserve"> </w:t>
      </w:r>
      <w:proofErr w:type="spellStart"/>
      <w:r w:rsidRPr="00277E9E">
        <w:rPr>
          <w:rFonts w:eastAsia="Arial" w:cs="Arial"/>
          <w:szCs w:val="24"/>
        </w:rPr>
        <w:t>exhibits</w:t>
      </w:r>
      <w:proofErr w:type="spellEnd"/>
      <w:r w:rsidRPr="00277E9E">
        <w:rPr>
          <w:rFonts w:eastAsia="Arial" w:cs="Arial"/>
          <w:szCs w:val="24"/>
        </w:rPr>
        <w:t xml:space="preserve"> antiviral </w:t>
      </w:r>
      <w:proofErr w:type="spellStart"/>
      <w:r w:rsidRPr="00277E9E">
        <w:rPr>
          <w:rFonts w:eastAsia="Arial" w:cs="Arial"/>
          <w:szCs w:val="24"/>
        </w:rPr>
        <w:t>activity</w:t>
      </w:r>
      <w:proofErr w:type="spellEnd"/>
      <w:r w:rsidRPr="00277E9E">
        <w:rPr>
          <w:rFonts w:eastAsia="Arial" w:cs="Arial"/>
          <w:szCs w:val="24"/>
        </w:rPr>
        <w:t xml:space="preserve"> </w:t>
      </w:r>
      <w:proofErr w:type="spellStart"/>
      <w:r w:rsidRPr="00277E9E">
        <w:rPr>
          <w:rFonts w:eastAsia="Arial" w:cs="Arial"/>
          <w:szCs w:val="24"/>
        </w:rPr>
        <w:t>against</w:t>
      </w:r>
      <w:proofErr w:type="spellEnd"/>
      <w:r w:rsidRPr="00277E9E">
        <w:rPr>
          <w:rFonts w:eastAsia="Arial" w:cs="Arial"/>
          <w:szCs w:val="24"/>
        </w:rPr>
        <w:t xml:space="preserve"> viral </w:t>
      </w:r>
      <w:proofErr w:type="spellStart"/>
      <w:r w:rsidRPr="00277E9E">
        <w:rPr>
          <w:rFonts w:eastAsia="Arial" w:cs="Arial"/>
          <w:szCs w:val="24"/>
        </w:rPr>
        <w:t>haemorhagic</w:t>
      </w:r>
      <w:proofErr w:type="spellEnd"/>
      <w:r w:rsidRPr="00277E9E">
        <w:rPr>
          <w:rFonts w:eastAsia="Arial" w:cs="Arial"/>
          <w:szCs w:val="24"/>
        </w:rPr>
        <w:t xml:space="preserve"> </w:t>
      </w:r>
      <w:proofErr w:type="spellStart"/>
      <w:r w:rsidRPr="00277E9E">
        <w:rPr>
          <w:rFonts w:eastAsia="Arial" w:cs="Arial"/>
          <w:szCs w:val="24"/>
        </w:rPr>
        <w:t>septicaemia</w:t>
      </w:r>
      <w:proofErr w:type="spellEnd"/>
      <w:r w:rsidRPr="00277E9E">
        <w:rPr>
          <w:rFonts w:eastAsia="Arial" w:cs="Arial"/>
          <w:szCs w:val="24"/>
        </w:rPr>
        <w:t xml:space="preserve"> </w:t>
      </w:r>
      <w:proofErr w:type="spellStart"/>
      <w:r w:rsidRPr="00277E9E">
        <w:rPr>
          <w:rFonts w:eastAsia="Arial" w:cs="Arial"/>
          <w:szCs w:val="24"/>
        </w:rPr>
        <w:t>rhabdovirus</w:t>
      </w:r>
      <w:proofErr w:type="spellEnd"/>
      <w:r w:rsidRPr="00277E9E">
        <w:rPr>
          <w:rFonts w:eastAsia="Arial" w:cs="Arial"/>
          <w:szCs w:val="24"/>
        </w:rPr>
        <w:t xml:space="preserve"> (VHSV). </w:t>
      </w:r>
      <w:r w:rsidRPr="00277E9E">
        <w:rPr>
          <w:rFonts w:eastAsia="Arial" w:cs="Arial"/>
          <w:b/>
          <w:szCs w:val="24"/>
        </w:rPr>
        <w:t>Antiviral Res</w:t>
      </w:r>
      <w:r w:rsidRPr="00277E9E">
        <w:rPr>
          <w:rFonts w:eastAsia="Arial" w:cs="Arial"/>
          <w:szCs w:val="24"/>
        </w:rPr>
        <w:t>., 66: 129-136. 2005.</w:t>
      </w:r>
    </w:p>
    <w:p w:rsidR="00277E9E" w:rsidRPr="003D66F2" w:rsidRDefault="00277E9E" w:rsidP="00277E9E">
      <w:pPr>
        <w:autoSpaceDE w:val="0"/>
        <w:autoSpaceDN w:val="0"/>
        <w:adjustRightInd w:val="0"/>
        <w:spacing w:before="0" w:after="240" w:line="240" w:lineRule="auto"/>
        <w:rPr>
          <w:rFonts w:cs="Arial"/>
          <w:szCs w:val="24"/>
          <w:lang w:val="en-US"/>
        </w:rPr>
      </w:pPr>
      <w:r w:rsidRPr="00277E9E">
        <w:rPr>
          <w:rFonts w:cs="Arial"/>
          <w:szCs w:val="24"/>
        </w:rPr>
        <w:t xml:space="preserve">MONDELLO, F.; BERNARDIS, A.; GIROLAMO, A. et. al. </w:t>
      </w:r>
      <w:r w:rsidRPr="003D66F2">
        <w:rPr>
          <w:rFonts w:cs="Arial"/>
          <w:i/>
          <w:iCs/>
          <w:szCs w:val="24"/>
          <w:lang w:val="en-US"/>
        </w:rPr>
        <w:t xml:space="preserve">In vivo </w:t>
      </w:r>
      <w:r w:rsidRPr="003D66F2">
        <w:rPr>
          <w:rFonts w:cs="Arial"/>
          <w:szCs w:val="24"/>
          <w:lang w:val="en-US"/>
        </w:rPr>
        <w:t xml:space="preserve">activity of terpinen-4-ol, the main bioactive component of </w:t>
      </w:r>
      <w:proofErr w:type="spellStart"/>
      <w:r w:rsidRPr="003D66F2">
        <w:rPr>
          <w:rFonts w:cs="Arial"/>
          <w:i/>
          <w:iCs/>
          <w:szCs w:val="24"/>
          <w:lang w:val="en-US"/>
        </w:rPr>
        <w:t>Melaleuca</w:t>
      </w:r>
      <w:proofErr w:type="spellEnd"/>
      <w:r w:rsidRPr="003D66F2">
        <w:rPr>
          <w:rFonts w:cs="Arial"/>
          <w:i/>
          <w:iCs/>
          <w:szCs w:val="24"/>
          <w:lang w:val="en-US"/>
        </w:rPr>
        <w:t xml:space="preserve"> </w:t>
      </w:r>
      <w:proofErr w:type="spellStart"/>
      <w:r w:rsidRPr="003D66F2">
        <w:rPr>
          <w:rFonts w:cs="Arial"/>
          <w:i/>
          <w:iCs/>
          <w:szCs w:val="24"/>
          <w:lang w:val="en-US"/>
        </w:rPr>
        <w:t>alternifolia</w:t>
      </w:r>
      <w:proofErr w:type="spellEnd"/>
      <w:r w:rsidRPr="003D66F2">
        <w:rPr>
          <w:rFonts w:cs="Arial"/>
          <w:i/>
          <w:iCs/>
          <w:szCs w:val="24"/>
          <w:lang w:val="en-US"/>
        </w:rPr>
        <w:t xml:space="preserve"> </w:t>
      </w:r>
      <w:proofErr w:type="spellStart"/>
      <w:r w:rsidRPr="003D66F2">
        <w:rPr>
          <w:rFonts w:cs="Arial"/>
          <w:szCs w:val="24"/>
          <w:lang w:val="en-US"/>
        </w:rPr>
        <w:t>Cheel</w:t>
      </w:r>
      <w:proofErr w:type="spellEnd"/>
      <w:r w:rsidRPr="003D66F2">
        <w:rPr>
          <w:rFonts w:cs="Arial"/>
          <w:szCs w:val="24"/>
          <w:lang w:val="en-US"/>
        </w:rPr>
        <w:t xml:space="preserve"> (tea tree) oil against azole-susceptible and -resistant human pathogenic </w:t>
      </w:r>
      <w:r w:rsidRPr="003D66F2">
        <w:rPr>
          <w:rFonts w:cs="Arial"/>
          <w:i/>
          <w:iCs/>
          <w:szCs w:val="24"/>
          <w:lang w:val="en-US"/>
        </w:rPr>
        <w:t xml:space="preserve">Candida </w:t>
      </w:r>
      <w:r w:rsidRPr="003D66F2">
        <w:rPr>
          <w:rFonts w:cs="Arial"/>
          <w:szCs w:val="24"/>
          <w:lang w:val="en-US"/>
        </w:rPr>
        <w:t xml:space="preserve">species. </w:t>
      </w:r>
      <w:r w:rsidRPr="003D66F2">
        <w:rPr>
          <w:rFonts w:cs="Arial"/>
          <w:b/>
          <w:bCs/>
          <w:szCs w:val="24"/>
          <w:lang w:val="en-US"/>
        </w:rPr>
        <w:t>BMC Infect Dis</w:t>
      </w:r>
      <w:r w:rsidRPr="003D66F2">
        <w:rPr>
          <w:rFonts w:cs="Arial"/>
          <w:szCs w:val="24"/>
          <w:lang w:val="en-US"/>
        </w:rPr>
        <w:t>., v.6, p. 158, 2006.</w:t>
      </w:r>
    </w:p>
    <w:p w:rsidR="00277E9E" w:rsidRPr="003D66F2" w:rsidRDefault="00277E9E" w:rsidP="00277E9E">
      <w:pPr>
        <w:spacing w:after="240" w:line="240" w:lineRule="auto"/>
        <w:rPr>
          <w:rFonts w:cs="Arial"/>
          <w:szCs w:val="24"/>
          <w:lang w:val="en-US"/>
        </w:rPr>
      </w:pPr>
      <w:r w:rsidRPr="003D66F2">
        <w:rPr>
          <w:rFonts w:cs="Arial"/>
          <w:szCs w:val="24"/>
          <w:lang w:val="en-US"/>
        </w:rPr>
        <w:t xml:space="preserve">OECD/OCDE. OECD </w:t>
      </w:r>
      <w:r w:rsidRPr="003D66F2">
        <w:rPr>
          <w:rFonts w:cs="Arial"/>
          <w:b/>
          <w:bCs/>
          <w:szCs w:val="24"/>
          <w:lang w:val="en-US"/>
        </w:rPr>
        <w:t>Guideline for the Testing of Chemicals</w:t>
      </w:r>
      <w:r w:rsidRPr="003D66F2">
        <w:rPr>
          <w:rFonts w:cs="Arial"/>
          <w:szCs w:val="24"/>
          <w:lang w:val="en-US"/>
        </w:rPr>
        <w:t xml:space="preserve">. </w:t>
      </w:r>
      <w:r w:rsidRPr="00277E9E">
        <w:rPr>
          <w:rFonts w:cs="Arial"/>
          <w:szCs w:val="24"/>
        </w:rPr>
        <w:t>2001. Disponível em: &lt;</w:t>
      </w:r>
      <w:hyperlink r:id="rId12" w:history="1">
        <w:r w:rsidRPr="00277E9E">
          <w:rPr>
            <w:rStyle w:val="Hyperlink"/>
            <w:rFonts w:eastAsiaTheme="majorEastAsia" w:cs="Arial"/>
            <w:color w:val="auto"/>
            <w:szCs w:val="24"/>
            <w:u w:val="none"/>
          </w:rPr>
          <w:t>https://ntp.niehs.nih.gov/iccvam/suppdocs/feddocs/oecd/oecd_gl414.pdf</w:t>
        </w:r>
      </w:hyperlink>
      <w:r w:rsidRPr="00277E9E">
        <w:rPr>
          <w:rFonts w:cs="Arial"/>
          <w:szCs w:val="24"/>
        </w:rPr>
        <w:t xml:space="preserve">&gt;. </w:t>
      </w:r>
      <w:proofErr w:type="spellStart"/>
      <w:r w:rsidRPr="003D66F2">
        <w:rPr>
          <w:rFonts w:cs="Arial"/>
          <w:szCs w:val="24"/>
          <w:lang w:val="en-US"/>
        </w:rPr>
        <w:t>Acesso</w:t>
      </w:r>
      <w:proofErr w:type="spellEnd"/>
      <w:r w:rsidRPr="003D66F2">
        <w:rPr>
          <w:rFonts w:cs="Arial"/>
          <w:szCs w:val="24"/>
          <w:lang w:val="en-US"/>
        </w:rPr>
        <w:t xml:space="preserve"> </w:t>
      </w:r>
      <w:proofErr w:type="spellStart"/>
      <w:r w:rsidRPr="003D66F2">
        <w:rPr>
          <w:rFonts w:cs="Arial"/>
          <w:szCs w:val="24"/>
          <w:lang w:val="en-US"/>
        </w:rPr>
        <w:t>em</w:t>
      </w:r>
      <w:proofErr w:type="spellEnd"/>
      <w:r w:rsidRPr="003D66F2">
        <w:rPr>
          <w:rFonts w:cs="Arial"/>
          <w:szCs w:val="24"/>
          <w:lang w:val="en-US"/>
        </w:rPr>
        <w:t>: 02 abr. 2019.</w:t>
      </w:r>
    </w:p>
    <w:p w:rsidR="00277E9E" w:rsidRPr="003D66F2" w:rsidRDefault="00277E9E" w:rsidP="00277E9E">
      <w:pPr>
        <w:spacing w:after="240" w:line="240" w:lineRule="auto"/>
        <w:rPr>
          <w:rFonts w:cs="Arial"/>
          <w:color w:val="222222"/>
          <w:szCs w:val="24"/>
          <w:shd w:val="clear" w:color="auto" w:fill="FFFFFF"/>
          <w:lang w:val="en-US"/>
        </w:rPr>
      </w:pPr>
      <w:r w:rsidRPr="00FD322F">
        <w:rPr>
          <w:rFonts w:cs="Arial"/>
          <w:color w:val="222222"/>
          <w:szCs w:val="24"/>
          <w:shd w:val="clear" w:color="auto" w:fill="FFFFFF"/>
        </w:rPr>
        <w:t xml:space="preserve">OOTANI, Marcio A. et al. </w:t>
      </w:r>
      <w:r w:rsidRPr="003D66F2">
        <w:rPr>
          <w:rFonts w:cs="Arial"/>
          <w:color w:val="222222"/>
          <w:szCs w:val="24"/>
          <w:shd w:val="clear" w:color="auto" w:fill="FFFFFF"/>
          <w:lang w:val="en-US"/>
        </w:rPr>
        <w:t>Use of essential oils in agriculture. </w:t>
      </w:r>
      <w:r w:rsidRPr="003D66F2">
        <w:rPr>
          <w:rFonts w:cs="Arial"/>
          <w:b/>
          <w:bCs/>
          <w:color w:val="222222"/>
          <w:szCs w:val="24"/>
          <w:shd w:val="clear" w:color="auto" w:fill="FFFFFF"/>
          <w:lang w:val="en-US"/>
        </w:rPr>
        <w:t>Journal of biotechnology and biodiversity</w:t>
      </w:r>
      <w:r w:rsidRPr="003D66F2">
        <w:rPr>
          <w:rFonts w:cs="Arial"/>
          <w:color w:val="222222"/>
          <w:szCs w:val="24"/>
          <w:shd w:val="clear" w:color="auto" w:fill="FFFFFF"/>
          <w:lang w:val="en-US"/>
        </w:rPr>
        <w:t xml:space="preserve">, v. </w:t>
      </w:r>
      <w:proofErr w:type="gramStart"/>
      <w:r w:rsidRPr="003D66F2">
        <w:rPr>
          <w:rFonts w:cs="Arial"/>
          <w:color w:val="222222"/>
          <w:szCs w:val="24"/>
          <w:shd w:val="clear" w:color="auto" w:fill="FFFFFF"/>
          <w:lang w:val="en-US"/>
        </w:rPr>
        <w:t>4</w:t>
      </w:r>
      <w:proofErr w:type="gramEnd"/>
      <w:r w:rsidRPr="003D66F2">
        <w:rPr>
          <w:rFonts w:cs="Arial"/>
          <w:color w:val="222222"/>
          <w:szCs w:val="24"/>
          <w:shd w:val="clear" w:color="auto" w:fill="FFFFFF"/>
          <w:lang w:val="en-US"/>
        </w:rPr>
        <w:t>, n. 2, p. 162-175, 2013.</w:t>
      </w:r>
    </w:p>
    <w:p w:rsidR="00277E9E" w:rsidRPr="00277E9E" w:rsidRDefault="00277E9E" w:rsidP="00277E9E">
      <w:pPr>
        <w:spacing w:after="240" w:line="240" w:lineRule="auto"/>
        <w:rPr>
          <w:rFonts w:eastAsia="Arial" w:cs="Arial"/>
          <w:szCs w:val="24"/>
        </w:rPr>
      </w:pPr>
      <w:r w:rsidRPr="00277E9E">
        <w:rPr>
          <w:rFonts w:eastAsia="Arial" w:cs="Arial"/>
          <w:szCs w:val="24"/>
        </w:rPr>
        <w:t xml:space="preserve">OLIVEIRA, A. F. et al. Enraizamento de estacas </w:t>
      </w:r>
      <w:proofErr w:type="spellStart"/>
      <w:r w:rsidRPr="00277E9E">
        <w:rPr>
          <w:rFonts w:eastAsia="Arial" w:cs="Arial"/>
          <w:szCs w:val="24"/>
        </w:rPr>
        <w:t>semilenhosas</w:t>
      </w:r>
      <w:proofErr w:type="spellEnd"/>
      <w:r w:rsidRPr="00277E9E">
        <w:rPr>
          <w:rFonts w:eastAsia="Arial" w:cs="Arial"/>
          <w:szCs w:val="24"/>
        </w:rPr>
        <w:t xml:space="preserve"> de oliveira sob diferentes épocas, substratos e concentrações de ácido </w:t>
      </w:r>
      <w:proofErr w:type="spellStart"/>
      <w:r w:rsidRPr="00277E9E">
        <w:rPr>
          <w:rFonts w:eastAsia="Arial" w:cs="Arial"/>
          <w:szCs w:val="24"/>
        </w:rPr>
        <w:t>indolbutírico</w:t>
      </w:r>
      <w:proofErr w:type="spellEnd"/>
      <w:r w:rsidRPr="00277E9E">
        <w:rPr>
          <w:rFonts w:eastAsia="Arial" w:cs="Arial"/>
          <w:szCs w:val="24"/>
        </w:rPr>
        <w:t xml:space="preserve">. </w:t>
      </w:r>
      <w:r w:rsidRPr="00607CE3">
        <w:rPr>
          <w:rFonts w:eastAsia="Arial" w:cs="Arial"/>
          <w:b/>
          <w:szCs w:val="24"/>
        </w:rPr>
        <w:t xml:space="preserve">Ciência e </w:t>
      </w:r>
      <w:proofErr w:type="spellStart"/>
      <w:r w:rsidRPr="00607CE3">
        <w:rPr>
          <w:rFonts w:eastAsia="Arial" w:cs="Arial"/>
          <w:b/>
          <w:szCs w:val="24"/>
        </w:rPr>
        <w:t>Agrotecnologia</w:t>
      </w:r>
      <w:proofErr w:type="spellEnd"/>
      <w:r w:rsidRPr="00277E9E">
        <w:rPr>
          <w:rFonts w:eastAsia="Arial" w:cs="Arial"/>
          <w:szCs w:val="24"/>
        </w:rPr>
        <w:t>, v. 27, n. 1, p. 117-125, 2003.</w:t>
      </w:r>
    </w:p>
    <w:p w:rsidR="00277E9E" w:rsidRPr="00277E9E" w:rsidRDefault="00277E9E" w:rsidP="00277E9E">
      <w:pPr>
        <w:spacing w:after="240" w:line="240" w:lineRule="auto"/>
        <w:rPr>
          <w:rFonts w:eastAsia="Arial" w:cs="Arial"/>
          <w:szCs w:val="24"/>
        </w:rPr>
      </w:pPr>
      <w:r w:rsidRPr="00277E9E">
        <w:rPr>
          <w:rFonts w:eastAsia="Arial" w:cs="Arial"/>
          <w:szCs w:val="24"/>
        </w:rPr>
        <w:t xml:space="preserve">PEIXOTO, E. R. M.; SANTANA, D. M. N.; ABRANTES, S. Avaliação dos índices de identidade e qualidade do azeite de oliva: Proposta para atualização da legislação brasileira. </w:t>
      </w:r>
      <w:r w:rsidRPr="00277E9E">
        <w:rPr>
          <w:rFonts w:eastAsia="Arial" w:cs="Arial"/>
          <w:b/>
          <w:szCs w:val="24"/>
        </w:rPr>
        <w:t>Ciência e Tecnologia de Alimentos</w:t>
      </w:r>
      <w:r w:rsidRPr="00277E9E">
        <w:rPr>
          <w:rFonts w:eastAsia="Arial" w:cs="Arial"/>
          <w:szCs w:val="24"/>
        </w:rPr>
        <w:t>, v. 18, n. 4, p. 444-452,1998.</w:t>
      </w:r>
    </w:p>
    <w:p w:rsidR="00607CE3" w:rsidRDefault="00607CE3" w:rsidP="00277E9E">
      <w:pPr>
        <w:spacing w:after="240" w:line="240" w:lineRule="auto"/>
        <w:rPr>
          <w:rFonts w:eastAsia="Arial" w:cs="Arial"/>
          <w:szCs w:val="24"/>
        </w:rPr>
      </w:pPr>
    </w:p>
    <w:p w:rsidR="00277E9E" w:rsidRPr="00277E9E" w:rsidRDefault="00277E9E" w:rsidP="00277E9E">
      <w:pPr>
        <w:spacing w:after="240" w:line="240" w:lineRule="auto"/>
        <w:rPr>
          <w:rFonts w:eastAsia="Arial" w:cs="Arial"/>
          <w:szCs w:val="24"/>
        </w:rPr>
      </w:pPr>
      <w:r w:rsidRPr="00277E9E">
        <w:rPr>
          <w:rFonts w:eastAsia="Arial" w:cs="Arial"/>
          <w:szCs w:val="24"/>
        </w:rPr>
        <w:lastRenderedPageBreak/>
        <w:t xml:space="preserve">PEREIRA, F. O. Atividade antifúngica do óleo essencial de </w:t>
      </w:r>
      <w:proofErr w:type="spellStart"/>
      <w:r w:rsidRPr="00277E9E">
        <w:rPr>
          <w:rFonts w:eastAsia="Arial" w:cs="Arial"/>
          <w:szCs w:val="24"/>
        </w:rPr>
        <w:t>Cymbopogon</w:t>
      </w:r>
      <w:proofErr w:type="spellEnd"/>
      <w:r w:rsidRPr="00277E9E">
        <w:rPr>
          <w:rFonts w:eastAsia="Arial" w:cs="Arial"/>
          <w:szCs w:val="24"/>
        </w:rPr>
        <w:t xml:space="preserve"> </w:t>
      </w:r>
      <w:proofErr w:type="spellStart"/>
      <w:r w:rsidRPr="00277E9E">
        <w:rPr>
          <w:rFonts w:eastAsia="Arial" w:cs="Arial"/>
          <w:szCs w:val="24"/>
        </w:rPr>
        <w:t>winterianus</w:t>
      </w:r>
      <w:proofErr w:type="spellEnd"/>
      <w:r w:rsidRPr="00277E9E">
        <w:rPr>
          <w:rFonts w:eastAsia="Arial" w:cs="Arial"/>
          <w:szCs w:val="24"/>
        </w:rPr>
        <w:t xml:space="preserve"> </w:t>
      </w:r>
      <w:proofErr w:type="spellStart"/>
      <w:r w:rsidRPr="00277E9E">
        <w:rPr>
          <w:rFonts w:eastAsia="Arial" w:cs="Arial"/>
          <w:szCs w:val="24"/>
        </w:rPr>
        <w:t>Jowitt</w:t>
      </w:r>
      <w:proofErr w:type="spellEnd"/>
      <w:r w:rsidRPr="00277E9E">
        <w:rPr>
          <w:rFonts w:eastAsia="Arial" w:cs="Arial"/>
          <w:szCs w:val="24"/>
        </w:rPr>
        <w:t xml:space="preserve"> </w:t>
      </w:r>
      <w:proofErr w:type="spellStart"/>
      <w:r w:rsidRPr="00277E9E">
        <w:rPr>
          <w:rFonts w:eastAsia="Arial" w:cs="Arial"/>
          <w:szCs w:val="24"/>
        </w:rPr>
        <w:t>ex</w:t>
      </w:r>
      <w:proofErr w:type="spellEnd"/>
      <w:r w:rsidRPr="00277E9E">
        <w:rPr>
          <w:rFonts w:eastAsia="Arial" w:cs="Arial"/>
          <w:szCs w:val="24"/>
        </w:rPr>
        <w:t xml:space="preserve"> </w:t>
      </w:r>
      <w:proofErr w:type="spellStart"/>
      <w:r w:rsidRPr="00277E9E">
        <w:rPr>
          <w:rFonts w:eastAsia="Arial" w:cs="Arial"/>
          <w:szCs w:val="24"/>
        </w:rPr>
        <w:t>Bor</w:t>
      </w:r>
      <w:proofErr w:type="spellEnd"/>
      <w:r w:rsidRPr="00277E9E">
        <w:rPr>
          <w:rFonts w:eastAsia="Arial" w:cs="Arial"/>
          <w:szCs w:val="24"/>
        </w:rPr>
        <w:t xml:space="preserve"> sobre </w:t>
      </w:r>
      <w:proofErr w:type="spellStart"/>
      <w:r w:rsidRPr="00277E9E">
        <w:rPr>
          <w:rFonts w:eastAsia="Arial" w:cs="Arial"/>
          <w:szCs w:val="24"/>
        </w:rPr>
        <w:t>dermatófitos</w:t>
      </w:r>
      <w:proofErr w:type="spellEnd"/>
      <w:r w:rsidRPr="00277E9E">
        <w:rPr>
          <w:rFonts w:eastAsia="Arial" w:cs="Arial"/>
          <w:szCs w:val="24"/>
        </w:rPr>
        <w:t xml:space="preserve"> do gênero </w:t>
      </w:r>
      <w:proofErr w:type="spellStart"/>
      <w:r w:rsidRPr="00277E9E">
        <w:rPr>
          <w:rFonts w:eastAsia="Arial" w:cs="Arial"/>
          <w:szCs w:val="24"/>
        </w:rPr>
        <w:t>trichophyton</w:t>
      </w:r>
      <w:proofErr w:type="spellEnd"/>
      <w:r w:rsidRPr="00277E9E">
        <w:rPr>
          <w:rFonts w:eastAsia="Arial" w:cs="Arial"/>
          <w:szCs w:val="24"/>
        </w:rPr>
        <w:t xml:space="preserve">. 119f. </w:t>
      </w:r>
      <w:r w:rsidRPr="00607CE3">
        <w:rPr>
          <w:rFonts w:eastAsia="Arial" w:cs="Arial"/>
          <w:b/>
          <w:szCs w:val="24"/>
        </w:rPr>
        <w:t>Dissertação Mestrado em Veterinária), Universidade Federal de Pernambuco</w:t>
      </w:r>
      <w:r w:rsidRPr="00277E9E">
        <w:rPr>
          <w:rFonts w:eastAsia="Arial" w:cs="Arial"/>
          <w:szCs w:val="24"/>
        </w:rPr>
        <w:t>, João Pessoa, 2009.</w:t>
      </w:r>
    </w:p>
    <w:p w:rsidR="00277E9E" w:rsidRPr="00277E9E" w:rsidRDefault="00277E9E" w:rsidP="00277E9E">
      <w:pPr>
        <w:spacing w:before="0" w:after="240" w:line="240" w:lineRule="auto"/>
        <w:rPr>
          <w:rFonts w:cs="Arial"/>
          <w:szCs w:val="24"/>
        </w:rPr>
      </w:pPr>
      <w:r w:rsidRPr="00277E9E">
        <w:rPr>
          <w:rFonts w:cs="Arial"/>
          <w:szCs w:val="24"/>
        </w:rPr>
        <w:t xml:space="preserve">SANTIN, R. Potencial antifúngico e toxicidade de óleos essenciais da família </w:t>
      </w:r>
      <w:proofErr w:type="spellStart"/>
      <w:r w:rsidRPr="00277E9E">
        <w:rPr>
          <w:rFonts w:cs="Arial"/>
          <w:szCs w:val="24"/>
        </w:rPr>
        <w:t>Lamiaceae</w:t>
      </w:r>
      <w:proofErr w:type="spellEnd"/>
      <w:r w:rsidRPr="00277E9E">
        <w:rPr>
          <w:rFonts w:cs="Arial"/>
          <w:szCs w:val="24"/>
        </w:rPr>
        <w:t xml:space="preserve">. 2013. </w:t>
      </w:r>
      <w:r w:rsidRPr="00607CE3">
        <w:rPr>
          <w:rFonts w:cs="Arial"/>
          <w:b/>
          <w:szCs w:val="24"/>
        </w:rPr>
        <w:t>Tese de Doutorado em Ciências Veterinárias, Universidade Federal do Rio Grande do Sul,</w:t>
      </w:r>
      <w:r w:rsidRPr="00277E9E">
        <w:rPr>
          <w:rFonts w:cs="Arial"/>
          <w:szCs w:val="24"/>
        </w:rPr>
        <w:t xml:space="preserve"> Faculdade de Veterinária, Porto Alegre, RS.</w:t>
      </w:r>
    </w:p>
    <w:p w:rsidR="00277E9E" w:rsidRPr="00277E9E" w:rsidRDefault="00277E9E" w:rsidP="00277E9E">
      <w:pPr>
        <w:spacing w:after="240" w:line="240" w:lineRule="auto"/>
        <w:rPr>
          <w:rFonts w:eastAsia="Arial" w:cs="Arial"/>
          <w:szCs w:val="24"/>
        </w:rPr>
      </w:pPr>
      <w:r w:rsidRPr="00277E9E">
        <w:rPr>
          <w:rFonts w:eastAsia="Arial" w:cs="Arial"/>
          <w:szCs w:val="24"/>
        </w:rPr>
        <w:t xml:space="preserve">SILVA D.T. et al. Esporotricose conjuntival felina. Acta </w:t>
      </w:r>
      <w:proofErr w:type="spellStart"/>
      <w:r w:rsidRPr="00277E9E">
        <w:rPr>
          <w:rFonts w:eastAsia="Arial" w:cs="Arial"/>
          <w:szCs w:val="24"/>
        </w:rPr>
        <w:t>Scientiae</w:t>
      </w:r>
      <w:proofErr w:type="spellEnd"/>
      <w:r w:rsidRPr="00277E9E">
        <w:rPr>
          <w:rFonts w:eastAsia="Arial" w:cs="Arial"/>
          <w:szCs w:val="24"/>
        </w:rPr>
        <w:t xml:space="preserve"> </w:t>
      </w:r>
      <w:proofErr w:type="spellStart"/>
      <w:r w:rsidRPr="00277E9E">
        <w:rPr>
          <w:rFonts w:eastAsia="Arial" w:cs="Arial"/>
          <w:szCs w:val="24"/>
        </w:rPr>
        <w:t>Veterinariae</w:t>
      </w:r>
      <w:proofErr w:type="spellEnd"/>
      <w:r w:rsidRPr="00277E9E">
        <w:rPr>
          <w:rFonts w:eastAsia="Arial" w:cs="Arial"/>
          <w:szCs w:val="24"/>
        </w:rPr>
        <w:t xml:space="preserve">; 36 (2): 181-184. 2008. </w:t>
      </w:r>
    </w:p>
    <w:p w:rsidR="00277E9E" w:rsidRPr="00277E9E" w:rsidRDefault="00277E9E" w:rsidP="00277E9E">
      <w:pPr>
        <w:spacing w:after="240" w:line="240" w:lineRule="auto"/>
        <w:rPr>
          <w:rFonts w:cs="Arial"/>
          <w:color w:val="222222"/>
          <w:szCs w:val="24"/>
          <w:shd w:val="clear" w:color="auto" w:fill="FFFFFF"/>
        </w:rPr>
      </w:pPr>
      <w:r w:rsidRPr="00277E9E">
        <w:rPr>
          <w:rFonts w:cs="Arial"/>
          <w:color w:val="222222"/>
          <w:szCs w:val="24"/>
          <w:shd w:val="clear" w:color="auto" w:fill="FFFFFF"/>
        </w:rPr>
        <w:t xml:space="preserve">SIANI, A. C. et al. Óleos essenciais: potencial anti-inflamatório. </w:t>
      </w:r>
      <w:r w:rsidRPr="00277E9E">
        <w:rPr>
          <w:rFonts w:cs="Arial"/>
          <w:b/>
          <w:szCs w:val="24"/>
          <w:shd w:val="clear" w:color="auto" w:fill="FFFFFF"/>
        </w:rPr>
        <w:t>Biotecnologia Ciência &amp; desenvolvimento</w:t>
      </w:r>
      <w:r w:rsidRPr="00277E9E">
        <w:rPr>
          <w:rFonts w:cs="Arial"/>
          <w:color w:val="222222"/>
          <w:szCs w:val="24"/>
          <w:shd w:val="clear" w:color="auto" w:fill="FFFFFF"/>
        </w:rPr>
        <w:t>, Rio de Janeiro, v.16, p. 38-43. 2000.</w:t>
      </w:r>
    </w:p>
    <w:p w:rsidR="00277E9E" w:rsidRPr="00277E9E" w:rsidRDefault="00277E9E" w:rsidP="00277E9E">
      <w:pPr>
        <w:spacing w:after="240" w:line="240" w:lineRule="auto"/>
        <w:rPr>
          <w:rFonts w:cs="Arial"/>
          <w:color w:val="222222"/>
          <w:szCs w:val="24"/>
          <w:shd w:val="clear" w:color="auto" w:fill="FFFFFF"/>
        </w:rPr>
      </w:pPr>
      <w:r w:rsidRPr="00277E9E">
        <w:rPr>
          <w:rFonts w:cs="Arial"/>
          <w:color w:val="222222"/>
          <w:szCs w:val="24"/>
          <w:shd w:val="clear" w:color="auto" w:fill="FFFFFF"/>
        </w:rPr>
        <w:t xml:space="preserve">SIMÕES, C. M. O. et al. </w:t>
      </w:r>
      <w:r w:rsidRPr="00277E9E">
        <w:rPr>
          <w:rFonts w:cs="Arial"/>
          <w:b/>
          <w:color w:val="222222"/>
          <w:szCs w:val="24"/>
          <w:shd w:val="clear" w:color="auto" w:fill="FFFFFF"/>
        </w:rPr>
        <w:t>Farmacognosia: da planta ao medicamento.</w:t>
      </w:r>
      <w:r w:rsidRPr="00277E9E">
        <w:rPr>
          <w:rFonts w:cs="Arial"/>
          <w:color w:val="222222"/>
          <w:szCs w:val="24"/>
          <w:shd w:val="clear" w:color="auto" w:fill="FFFFFF"/>
        </w:rPr>
        <w:t xml:space="preserve"> 2ed. </w:t>
      </w:r>
      <w:r w:rsidRPr="00277E9E">
        <w:rPr>
          <w:rFonts w:cs="Arial"/>
          <w:iCs/>
          <w:color w:val="222222"/>
          <w:szCs w:val="24"/>
          <w:shd w:val="clear" w:color="auto" w:fill="FFFFFF"/>
        </w:rPr>
        <w:t>Porto Alegre/Florianópolis: Editora da UFRGS/Editora da UFSC, 2000. 891p.</w:t>
      </w:r>
      <w:r w:rsidRPr="00277E9E">
        <w:rPr>
          <w:rFonts w:cs="Arial"/>
          <w:color w:val="222222"/>
          <w:szCs w:val="24"/>
          <w:shd w:val="clear" w:color="auto" w:fill="FFFFFF"/>
        </w:rPr>
        <w:t>.</w:t>
      </w:r>
    </w:p>
    <w:p w:rsidR="00277E9E" w:rsidRPr="00277E9E" w:rsidRDefault="00277E9E" w:rsidP="00277E9E">
      <w:pPr>
        <w:spacing w:after="240" w:line="240" w:lineRule="auto"/>
        <w:rPr>
          <w:rFonts w:eastAsia="Arial" w:cs="Arial"/>
          <w:szCs w:val="24"/>
        </w:rPr>
      </w:pPr>
      <w:r w:rsidRPr="00277E9E">
        <w:rPr>
          <w:rFonts w:eastAsia="Arial" w:cs="Arial"/>
          <w:szCs w:val="24"/>
        </w:rPr>
        <w:t xml:space="preserve">SILVA, J.; FONSECA, M. B. Estudos toxicológicos no ambiente e na saúde humana.   In: </w:t>
      </w:r>
      <w:r w:rsidRPr="00277E9E">
        <w:rPr>
          <w:rFonts w:eastAsia="Arial" w:cs="Arial"/>
          <w:szCs w:val="24"/>
          <w:u w:val="single" w:color="000000"/>
        </w:rPr>
        <w:t xml:space="preserve">    </w:t>
      </w:r>
      <w:proofErr w:type="gramStart"/>
      <w:r w:rsidRPr="00277E9E">
        <w:rPr>
          <w:rFonts w:eastAsia="Arial" w:cs="Arial"/>
          <w:szCs w:val="24"/>
          <w:u w:val="single" w:color="000000"/>
        </w:rPr>
        <w:t xml:space="preserve">  ;</w:t>
      </w:r>
      <w:proofErr w:type="gramEnd"/>
      <w:r w:rsidRPr="00277E9E">
        <w:rPr>
          <w:rFonts w:eastAsia="Arial" w:cs="Arial"/>
          <w:szCs w:val="24"/>
          <w:u w:val="single" w:color="000000"/>
        </w:rPr>
        <w:t xml:space="preserve"> </w:t>
      </w:r>
      <w:r w:rsidRPr="00277E9E">
        <w:rPr>
          <w:rFonts w:eastAsia="Arial" w:cs="Arial"/>
          <w:szCs w:val="24"/>
        </w:rPr>
        <w:t xml:space="preserve">ERDTMANN, B.; HENRIQUES, J. A. P. </w:t>
      </w:r>
      <w:r w:rsidRPr="00277E9E">
        <w:rPr>
          <w:rFonts w:eastAsia="Arial" w:cs="Arial"/>
          <w:b/>
          <w:szCs w:val="24"/>
        </w:rPr>
        <w:t>Genética toxicológica</w:t>
      </w:r>
      <w:r w:rsidRPr="00277E9E">
        <w:rPr>
          <w:rFonts w:eastAsia="Arial" w:cs="Arial"/>
          <w:szCs w:val="24"/>
        </w:rPr>
        <w:t>. Porto Alegre: Alcance, 2003.</w:t>
      </w:r>
    </w:p>
    <w:p w:rsidR="00277E9E" w:rsidRPr="003D66F2" w:rsidRDefault="00277E9E" w:rsidP="00277E9E">
      <w:pPr>
        <w:spacing w:after="240" w:line="240" w:lineRule="auto"/>
        <w:rPr>
          <w:rFonts w:eastAsia="Arial" w:cs="Arial"/>
          <w:szCs w:val="24"/>
          <w:lang w:val="en-US"/>
        </w:rPr>
      </w:pPr>
      <w:r w:rsidRPr="00FD322F">
        <w:rPr>
          <w:rFonts w:eastAsia="Arial" w:cs="Arial"/>
          <w:szCs w:val="24"/>
          <w:lang w:val="en-US"/>
        </w:rPr>
        <w:t xml:space="preserve">SILVA, S., GOMES, L., LEITAO, F., COELHO, A. V., &amp; BOAS, L. V. Phenolic compounds and </w:t>
      </w:r>
      <w:proofErr w:type="spellStart"/>
      <w:r w:rsidRPr="00FD322F">
        <w:rPr>
          <w:rFonts w:eastAsia="Arial" w:cs="Arial"/>
          <w:szCs w:val="24"/>
          <w:lang w:val="en-US"/>
        </w:rPr>
        <w:t>antioxidante</w:t>
      </w:r>
      <w:proofErr w:type="spellEnd"/>
      <w:r w:rsidRPr="00FD322F">
        <w:rPr>
          <w:rFonts w:eastAsia="Arial" w:cs="Arial"/>
          <w:szCs w:val="24"/>
          <w:lang w:val="en-US"/>
        </w:rPr>
        <w:t xml:space="preserve"> activity of Olea europaea L. fruits and leaves. </w:t>
      </w:r>
      <w:r w:rsidRPr="003D66F2">
        <w:rPr>
          <w:rFonts w:eastAsia="Arial" w:cs="Arial"/>
          <w:b/>
          <w:szCs w:val="24"/>
          <w:lang w:val="en-US"/>
        </w:rPr>
        <w:t>Food Sci. Technol</w:t>
      </w:r>
      <w:r w:rsidRPr="003D66F2">
        <w:rPr>
          <w:rFonts w:eastAsia="Arial" w:cs="Arial"/>
          <w:szCs w:val="24"/>
          <w:lang w:val="en-US"/>
        </w:rPr>
        <w:t xml:space="preserve">. Int., v. 12, n. </w:t>
      </w:r>
      <w:proofErr w:type="gramStart"/>
      <w:r w:rsidRPr="003D66F2">
        <w:rPr>
          <w:rFonts w:eastAsia="Arial" w:cs="Arial"/>
          <w:szCs w:val="24"/>
          <w:lang w:val="en-US"/>
        </w:rPr>
        <w:t>5</w:t>
      </w:r>
      <w:proofErr w:type="gramEnd"/>
      <w:r w:rsidRPr="003D66F2">
        <w:rPr>
          <w:rFonts w:eastAsia="Arial" w:cs="Arial"/>
          <w:szCs w:val="24"/>
          <w:lang w:val="en-US"/>
        </w:rPr>
        <w:t>, p. 385-396, 2006.</w:t>
      </w:r>
    </w:p>
    <w:p w:rsidR="003D66F2" w:rsidRPr="00FD322F" w:rsidRDefault="003D66F2" w:rsidP="00277E9E">
      <w:pPr>
        <w:spacing w:after="240" w:line="240" w:lineRule="auto"/>
        <w:rPr>
          <w:rFonts w:eastAsia="Arial" w:cs="Arial"/>
          <w:szCs w:val="24"/>
          <w:lang w:val="en-US"/>
        </w:rPr>
      </w:pPr>
      <w:r w:rsidRPr="00FD322F">
        <w:rPr>
          <w:rFonts w:eastAsia="Arial" w:cs="Arial"/>
          <w:szCs w:val="24"/>
          <w:lang w:val="en-US"/>
        </w:rPr>
        <w:t xml:space="preserve">TAIZ, L. &amp; ZEIGER, E. </w:t>
      </w:r>
      <w:proofErr w:type="spellStart"/>
      <w:r w:rsidRPr="00FD322F">
        <w:rPr>
          <w:rFonts w:eastAsia="Arial" w:cs="Arial"/>
          <w:b/>
          <w:szCs w:val="24"/>
          <w:lang w:val="en-US"/>
        </w:rPr>
        <w:t>Fisiologia</w:t>
      </w:r>
      <w:proofErr w:type="spellEnd"/>
      <w:r w:rsidRPr="00FD322F">
        <w:rPr>
          <w:rFonts w:eastAsia="Arial" w:cs="Arial"/>
          <w:b/>
          <w:szCs w:val="24"/>
          <w:lang w:val="en-US"/>
        </w:rPr>
        <w:t xml:space="preserve"> vegetal</w:t>
      </w:r>
      <w:r w:rsidRPr="00FD322F">
        <w:rPr>
          <w:rFonts w:eastAsia="Arial" w:cs="Arial"/>
          <w:szCs w:val="24"/>
          <w:lang w:val="en-US"/>
        </w:rPr>
        <w:t xml:space="preserve">.  Porto </w:t>
      </w:r>
      <w:proofErr w:type="spellStart"/>
      <w:r w:rsidRPr="00FD322F">
        <w:rPr>
          <w:rFonts w:eastAsia="Arial" w:cs="Arial"/>
          <w:szCs w:val="24"/>
          <w:lang w:val="en-US"/>
        </w:rPr>
        <w:t>Alegre</w:t>
      </w:r>
      <w:proofErr w:type="spellEnd"/>
      <w:r w:rsidRPr="00FD322F">
        <w:rPr>
          <w:rFonts w:eastAsia="Arial" w:cs="Arial"/>
          <w:szCs w:val="24"/>
          <w:lang w:val="en-US"/>
        </w:rPr>
        <w:t xml:space="preserve">:  </w:t>
      </w:r>
      <w:proofErr w:type="spellStart"/>
      <w:r w:rsidRPr="00FD322F">
        <w:rPr>
          <w:rFonts w:eastAsia="Arial" w:cs="Arial"/>
          <w:szCs w:val="24"/>
          <w:lang w:val="en-US"/>
        </w:rPr>
        <w:t>Artmed</w:t>
      </w:r>
      <w:proofErr w:type="spellEnd"/>
      <w:r w:rsidRPr="00FD322F">
        <w:rPr>
          <w:rFonts w:eastAsia="Arial" w:cs="Arial"/>
          <w:szCs w:val="24"/>
          <w:lang w:val="en-US"/>
        </w:rPr>
        <w:t>, p.449-484, 2004.</w:t>
      </w:r>
    </w:p>
    <w:p w:rsidR="00277E9E" w:rsidRPr="00277E9E" w:rsidRDefault="00277E9E" w:rsidP="00277E9E">
      <w:pPr>
        <w:spacing w:after="240" w:line="240" w:lineRule="auto"/>
        <w:rPr>
          <w:rFonts w:eastAsia="Arial" w:cs="Arial"/>
          <w:szCs w:val="24"/>
        </w:rPr>
      </w:pPr>
      <w:r w:rsidRPr="00FD322F">
        <w:rPr>
          <w:rFonts w:eastAsia="Arial" w:cs="Arial"/>
          <w:szCs w:val="24"/>
          <w:lang w:val="en-US"/>
        </w:rPr>
        <w:t xml:space="preserve">TASSOU C.C., NYCHAS G.J.E. (1995). </w:t>
      </w:r>
      <w:r w:rsidRPr="003D66F2">
        <w:rPr>
          <w:rFonts w:eastAsia="Arial" w:cs="Arial"/>
          <w:szCs w:val="24"/>
          <w:lang w:val="en-US"/>
        </w:rPr>
        <w:t xml:space="preserve">Inhibition of Salmonella </w:t>
      </w:r>
      <w:proofErr w:type="spellStart"/>
      <w:r w:rsidRPr="003D66F2">
        <w:rPr>
          <w:rFonts w:eastAsia="Arial" w:cs="Arial"/>
          <w:szCs w:val="24"/>
          <w:lang w:val="en-US"/>
        </w:rPr>
        <w:t>enteriditis</w:t>
      </w:r>
      <w:proofErr w:type="spellEnd"/>
      <w:r w:rsidRPr="003D66F2">
        <w:rPr>
          <w:rFonts w:eastAsia="Arial" w:cs="Arial"/>
          <w:szCs w:val="24"/>
          <w:lang w:val="en-US"/>
        </w:rPr>
        <w:t xml:space="preserve"> by </w:t>
      </w:r>
      <w:proofErr w:type="spellStart"/>
      <w:r w:rsidRPr="003D66F2">
        <w:rPr>
          <w:rFonts w:eastAsia="Arial" w:cs="Arial"/>
          <w:szCs w:val="24"/>
          <w:lang w:val="en-US"/>
        </w:rPr>
        <w:t>oleuropein</w:t>
      </w:r>
      <w:proofErr w:type="spellEnd"/>
      <w:r w:rsidRPr="003D66F2">
        <w:rPr>
          <w:rFonts w:eastAsia="Arial" w:cs="Arial"/>
          <w:szCs w:val="24"/>
          <w:lang w:val="en-US"/>
        </w:rPr>
        <w:t xml:space="preserve"> in growth broth and in a model food system. </w:t>
      </w:r>
      <w:proofErr w:type="spellStart"/>
      <w:r w:rsidRPr="00277E9E">
        <w:rPr>
          <w:rFonts w:eastAsia="Arial" w:cs="Arial"/>
          <w:b/>
          <w:szCs w:val="24"/>
        </w:rPr>
        <w:t>Lett</w:t>
      </w:r>
      <w:proofErr w:type="spellEnd"/>
      <w:r w:rsidRPr="00277E9E">
        <w:rPr>
          <w:rFonts w:eastAsia="Arial" w:cs="Arial"/>
          <w:b/>
          <w:szCs w:val="24"/>
        </w:rPr>
        <w:t xml:space="preserve">. </w:t>
      </w:r>
      <w:proofErr w:type="spellStart"/>
      <w:r w:rsidRPr="00277E9E">
        <w:rPr>
          <w:rFonts w:eastAsia="Arial" w:cs="Arial"/>
          <w:b/>
          <w:szCs w:val="24"/>
        </w:rPr>
        <w:t>Appl</w:t>
      </w:r>
      <w:proofErr w:type="spellEnd"/>
      <w:r w:rsidRPr="00277E9E">
        <w:rPr>
          <w:rFonts w:eastAsia="Arial" w:cs="Arial"/>
          <w:b/>
          <w:szCs w:val="24"/>
        </w:rPr>
        <w:t>. Microbiol</w:t>
      </w:r>
      <w:r w:rsidRPr="00277E9E">
        <w:rPr>
          <w:rFonts w:eastAsia="Arial" w:cs="Arial"/>
          <w:szCs w:val="24"/>
        </w:rPr>
        <w:t>., 20: 120-124. 1996.</w:t>
      </w:r>
    </w:p>
    <w:p w:rsidR="00277E9E" w:rsidRPr="00277E9E" w:rsidRDefault="00277E9E" w:rsidP="00277E9E">
      <w:pPr>
        <w:spacing w:after="240" w:line="240" w:lineRule="auto"/>
        <w:rPr>
          <w:rFonts w:eastAsia="Arial" w:cs="Arial"/>
          <w:szCs w:val="24"/>
        </w:rPr>
      </w:pPr>
      <w:r w:rsidRPr="003D66F2">
        <w:rPr>
          <w:rFonts w:eastAsia="Arial" w:cs="Arial"/>
          <w:szCs w:val="24"/>
          <w:lang w:val="en-US"/>
        </w:rPr>
        <w:t xml:space="preserve">TUCK K.L., HAYBALL P.J. Major phenolic compounds in olive oil: metabolism and health effects. </w:t>
      </w:r>
      <w:r w:rsidRPr="00277E9E">
        <w:rPr>
          <w:rFonts w:eastAsia="Arial" w:cs="Arial"/>
          <w:b/>
          <w:szCs w:val="24"/>
        </w:rPr>
        <w:t xml:space="preserve">J. Nutr. </w:t>
      </w:r>
      <w:proofErr w:type="spellStart"/>
      <w:proofErr w:type="gramStart"/>
      <w:r w:rsidRPr="00277E9E">
        <w:rPr>
          <w:rFonts w:eastAsia="Arial" w:cs="Arial"/>
          <w:b/>
          <w:szCs w:val="24"/>
        </w:rPr>
        <w:t>Biochem</w:t>
      </w:r>
      <w:proofErr w:type="spellEnd"/>
      <w:r w:rsidRPr="00277E9E">
        <w:rPr>
          <w:rFonts w:eastAsia="Arial" w:cs="Arial"/>
          <w:szCs w:val="24"/>
        </w:rPr>
        <w:t>.,</w:t>
      </w:r>
      <w:proofErr w:type="gramEnd"/>
      <w:r w:rsidRPr="00277E9E">
        <w:rPr>
          <w:rFonts w:eastAsia="Arial" w:cs="Arial"/>
          <w:szCs w:val="24"/>
        </w:rPr>
        <w:t xml:space="preserve"> 13: 636-644. 2002.</w:t>
      </w:r>
    </w:p>
    <w:p w:rsidR="00277E9E" w:rsidRPr="00277E9E" w:rsidRDefault="00277E9E" w:rsidP="00277E9E">
      <w:pPr>
        <w:spacing w:after="240" w:line="240" w:lineRule="auto"/>
        <w:rPr>
          <w:rFonts w:eastAsia="Arial" w:cs="Arial"/>
          <w:szCs w:val="24"/>
        </w:rPr>
      </w:pPr>
      <w:r w:rsidRPr="00277E9E">
        <w:rPr>
          <w:rFonts w:eastAsia="Arial" w:cs="Arial"/>
          <w:szCs w:val="24"/>
        </w:rPr>
        <w:t xml:space="preserve">WHO. </w:t>
      </w:r>
      <w:proofErr w:type="spellStart"/>
      <w:r w:rsidRPr="00277E9E">
        <w:rPr>
          <w:rFonts w:eastAsia="Arial" w:cs="Arial"/>
          <w:b/>
          <w:szCs w:val="24"/>
        </w:rPr>
        <w:t>Organizatión</w:t>
      </w:r>
      <w:proofErr w:type="spellEnd"/>
      <w:r w:rsidRPr="00277E9E">
        <w:rPr>
          <w:rFonts w:eastAsia="Arial" w:cs="Arial"/>
          <w:b/>
          <w:szCs w:val="24"/>
        </w:rPr>
        <w:t xml:space="preserve"> Mundial de </w:t>
      </w:r>
      <w:proofErr w:type="spellStart"/>
      <w:r w:rsidRPr="00277E9E">
        <w:rPr>
          <w:rFonts w:eastAsia="Arial" w:cs="Arial"/>
          <w:b/>
          <w:szCs w:val="24"/>
        </w:rPr>
        <w:t>la</w:t>
      </w:r>
      <w:proofErr w:type="spellEnd"/>
      <w:r w:rsidRPr="00277E9E">
        <w:rPr>
          <w:rFonts w:eastAsia="Arial" w:cs="Arial"/>
          <w:b/>
          <w:szCs w:val="24"/>
        </w:rPr>
        <w:t xml:space="preserve"> </w:t>
      </w:r>
      <w:proofErr w:type="spellStart"/>
      <w:r w:rsidRPr="00277E9E">
        <w:rPr>
          <w:rFonts w:eastAsia="Arial" w:cs="Arial"/>
          <w:b/>
          <w:szCs w:val="24"/>
        </w:rPr>
        <w:t>Salud</w:t>
      </w:r>
      <w:proofErr w:type="spellEnd"/>
      <w:r w:rsidRPr="00277E9E">
        <w:rPr>
          <w:rFonts w:eastAsia="Arial" w:cs="Arial"/>
          <w:b/>
          <w:szCs w:val="24"/>
        </w:rPr>
        <w:t xml:space="preserve"> </w:t>
      </w:r>
      <w:proofErr w:type="spellStart"/>
      <w:r w:rsidRPr="00277E9E">
        <w:rPr>
          <w:rFonts w:eastAsia="Arial" w:cs="Arial"/>
          <w:b/>
          <w:szCs w:val="24"/>
        </w:rPr>
        <w:t>Ginebra</w:t>
      </w:r>
      <w:proofErr w:type="spellEnd"/>
      <w:r w:rsidRPr="00277E9E">
        <w:rPr>
          <w:rFonts w:eastAsia="Arial" w:cs="Arial"/>
          <w:szCs w:val="24"/>
        </w:rPr>
        <w:t xml:space="preserve">. </w:t>
      </w:r>
      <w:proofErr w:type="spellStart"/>
      <w:r w:rsidRPr="00277E9E">
        <w:rPr>
          <w:rFonts w:eastAsia="Arial" w:cs="Arial"/>
          <w:szCs w:val="24"/>
        </w:rPr>
        <w:t>Estrategia</w:t>
      </w:r>
      <w:proofErr w:type="spellEnd"/>
      <w:r w:rsidRPr="00277E9E">
        <w:rPr>
          <w:rFonts w:eastAsia="Arial" w:cs="Arial"/>
          <w:szCs w:val="24"/>
        </w:rPr>
        <w:t xml:space="preserve"> de </w:t>
      </w:r>
      <w:proofErr w:type="spellStart"/>
      <w:r w:rsidRPr="00277E9E">
        <w:rPr>
          <w:rFonts w:eastAsia="Arial" w:cs="Arial"/>
          <w:szCs w:val="24"/>
        </w:rPr>
        <w:t>la</w:t>
      </w:r>
      <w:proofErr w:type="spellEnd"/>
      <w:r w:rsidRPr="00277E9E">
        <w:rPr>
          <w:rFonts w:eastAsia="Arial" w:cs="Arial"/>
          <w:szCs w:val="24"/>
        </w:rPr>
        <w:t xml:space="preserve"> OMS sobre medicina tradicional. 2005.</w:t>
      </w:r>
    </w:p>
    <w:p w:rsidR="00277E9E" w:rsidRPr="00277E9E" w:rsidRDefault="00277E9E" w:rsidP="00277E9E">
      <w:pPr>
        <w:spacing w:after="240" w:line="240" w:lineRule="auto"/>
        <w:rPr>
          <w:rFonts w:eastAsia="Arial" w:cs="Arial"/>
          <w:szCs w:val="24"/>
        </w:rPr>
      </w:pPr>
      <w:r w:rsidRPr="00277E9E">
        <w:rPr>
          <w:rFonts w:cs="Arial"/>
          <w:color w:val="222222"/>
          <w:szCs w:val="24"/>
          <w:shd w:val="clear" w:color="auto" w:fill="FFFFFF"/>
        </w:rPr>
        <w:t>VEIGA JR, V. F. Estudo do consumo de plantas medicinais na Região Centro-Norte do Estado do Rio de Janeiro: aceitação pelos profissionais de saúde e modo de uso pela população. </w:t>
      </w:r>
      <w:r w:rsidRPr="00277E9E">
        <w:rPr>
          <w:rFonts w:cs="Arial"/>
          <w:b/>
          <w:bCs/>
          <w:color w:val="222222"/>
          <w:szCs w:val="24"/>
          <w:shd w:val="clear" w:color="auto" w:fill="FFFFFF"/>
        </w:rPr>
        <w:t>Revista Brasileira de farmacologia</w:t>
      </w:r>
      <w:r w:rsidRPr="00277E9E">
        <w:rPr>
          <w:rFonts w:cs="Arial"/>
          <w:color w:val="222222"/>
          <w:szCs w:val="24"/>
          <w:shd w:val="clear" w:color="auto" w:fill="FFFFFF"/>
        </w:rPr>
        <w:t>, v. 18, n. 2, p. 308-313, 2008.</w:t>
      </w:r>
    </w:p>
    <w:p w:rsidR="00277E9E" w:rsidRPr="003D66F2" w:rsidRDefault="00277E9E" w:rsidP="00277E9E">
      <w:pPr>
        <w:spacing w:after="240" w:line="240" w:lineRule="auto"/>
        <w:rPr>
          <w:rFonts w:eastAsia="Arial" w:cs="Arial"/>
          <w:szCs w:val="24"/>
          <w:lang w:val="en-US"/>
        </w:rPr>
      </w:pPr>
      <w:r w:rsidRPr="00277E9E">
        <w:rPr>
          <w:rFonts w:eastAsia="Arial" w:cs="Arial"/>
          <w:szCs w:val="24"/>
        </w:rPr>
        <w:t xml:space="preserve">VENTUROSO, L. R.; BACCHI, L. M. A.; GAVASSONI, L.; CONUS, L. A.; PONTIM, B. C. A.; BERGAMIN, A. C. Atividade antifúngica de extratos vegetais sobre o desenvolvimento de </w:t>
      </w:r>
      <w:proofErr w:type="spellStart"/>
      <w:r w:rsidRPr="00277E9E">
        <w:rPr>
          <w:rFonts w:eastAsia="Arial" w:cs="Arial"/>
          <w:szCs w:val="24"/>
        </w:rPr>
        <w:t>fitopatógenos</w:t>
      </w:r>
      <w:proofErr w:type="spellEnd"/>
      <w:r w:rsidRPr="00277E9E">
        <w:rPr>
          <w:rFonts w:eastAsia="Arial" w:cs="Arial"/>
          <w:szCs w:val="24"/>
        </w:rPr>
        <w:t xml:space="preserve">. </w:t>
      </w:r>
      <w:r w:rsidRPr="003D66F2">
        <w:rPr>
          <w:rFonts w:eastAsia="Arial" w:cs="Arial"/>
          <w:szCs w:val="24"/>
          <w:lang w:val="en-US"/>
        </w:rPr>
        <w:t xml:space="preserve">Summa </w:t>
      </w:r>
      <w:proofErr w:type="spellStart"/>
      <w:r w:rsidRPr="003D66F2">
        <w:rPr>
          <w:rFonts w:eastAsia="Arial" w:cs="Arial"/>
          <w:szCs w:val="24"/>
          <w:lang w:val="en-US"/>
        </w:rPr>
        <w:t>Phytopathol</w:t>
      </w:r>
      <w:proofErr w:type="spellEnd"/>
      <w:r w:rsidRPr="003D66F2">
        <w:rPr>
          <w:rFonts w:eastAsia="Arial" w:cs="Arial"/>
          <w:szCs w:val="24"/>
          <w:lang w:val="en-US"/>
        </w:rPr>
        <w:t>, v. 37, n.1, p. 18-23, 2011.</w:t>
      </w:r>
    </w:p>
    <w:p w:rsidR="00277E9E" w:rsidRPr="003D66F2" w:rsidRDefault="00277E9E" w:rsidP="00277E9E">
      <w:pPr>
        <w:spacing w:after="240" w:line="240" w:lineRule="auto"/>
        <w:rPr>
          <w:rFonts w:eastAsia="Arial" w:cs="Arial"/>
          <w:szCs w:val="24"/>
          <w:lang w:val="en-US"/>
        </w:rPr>
      </w:pPr>
      <w:r w:rsidRPr="003D66F2">
        <w:rPr>
          <w:rFonts w:eastAsia="Arial" w:cs="Arial"/>
          <w:szCs w:val="24"/>
          <w:lang w:val="en-US"/>
        </w:rPr>
        <w:t xml:space="preserve">ZENICK, H.; CLEGG, E. D. Assessment of male reproductive toxicity:  A risk of assessment approach. In: HILES, Richard A. </w:t>
      </w:r>
      <w:r w:rsidRPr="003D66F2">
        <w:rPr>
          <w:rFonts w:eastAsia="Arial" w:cs="Arial"/>
          <w:b/>
          <w:szCs w:val="24"/>
          <w:lang w:val="en-US"/>
        </w:rPr>
        <w:t>Principles and methods of toxicology</w:t>
      </w:r>
      <w:r w:rsidRPr="003D66F2">
        <w:rPr>
          <w:rFonts w:eastAsia="Arial" w:cs="Arial"/>
          <w:szCs w:val="24"/>
          <w:lang w:val="en-US"/>
        </w:rPr>
        <w:t>. New York: Raven Press, 1989.</w:t>
      </w:r>
    </w:p>
    <w:p w:rsidR="0086096E" w:rsidRPr="003D66F2" w:rsidRDefault="0086096E" w:rsidP="00277E9E">
      <w:pPr>
        <w:spacing w:line="240" w:lineRule="auto"/>
        <w:jc w:val="both"/>
        <w:rPr>
          <w:rFonts w:cs="Arial"/>
          <w:szCs w:val="24"/>
          <w:lang w:val="en-US"/>
        </w:rPr>
      </w:pPr>
    </w:p>
    <w:sectPr w:rsidR="0086096E" w:rsidRPr="003D66F2" w:rsidSect="00FF5A38">
      <w:head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48D" w:rsidRDefault="003C448D">
      <w:r>
        <w:separator/>
      </w:r>
    </w:p>
  </w:endnote>
  <w:endnote w:type="continuationSeparator" w:id="0">
    <w:p w:rsidR="003C448D" w:rsidRDefault="003C4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48D" w:rsidRDefault="003C448D">
      <w:r>
        <w:separator/>
      </w:r>
    </w:p>
  </w:footnote>
  <w:footnote w:type="continuationSeparator" w:id="0">
    <w:p w:rsidR="003C448D" w:rsidRDefault="003C44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6F2" w:rsidRDefault="003D66F2">
    <w:pPr>
      <w:spacing w:line="200" w:lineRule="exact"/>
    </w:pPr>
    <w:r>
      <w:rPr>
        <w:noProof/>
        <w:lang w:eastAsia="pt-BR"/>
      </w:rPr>
      <mc:AlternateContent>
        <mc:Choice Requires="wps">
          <w:drawing>
            <wp:anchor distT="0" distB="0" distL="114300" distR="114300" simplePos="0" relativeHeight="251659264" behindDoc="1" locked="0" layoutInCell="1" allowOverlap="1">
              <wp:simplePos x="0" y="0"/>
              <wp:positionH relativeFrom="page">
                <wp:posOffset>6329680</wp:posOffset>
              </wp:positionH>
              <wp:positionV relativeFrom="page">
                <wp:posOffset>449580</wp:posOffset>
              </wp:positionV>
              <wp:extent cx="179070" cy="151765"/>
              <wp:effectExtent l="0" t="1905" r="0" b="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66F2" w:rsidRDefault="003D66F2">
                          <w:pPr>
                            <w:spacing w:line="220" w:lineRule="exact"/>
                            <w:ind w:left="40"/>
                          </w:pPr>
                          <w:r>
                            <w:fldChar w:fldCharType="begin"/>
                          </w:r>
                          <w:r>
                            <w:rPr>
                              <w:w w:val="99"/>
                            </w:rPr>
                            <w:instrText xml:space="preserve"> PAGE </w:instrText>
                          </w:r>
                          <w:r>
                            <w:fldChar w:fldCharType="separate"/>
                          </w:r>
                          <w:r w:rsidR="00FD322F">
                            <w:rPr>
                              <w:noProof/>
                              <w:w w:val="99"/>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 o:spid="_x0000_s1026" type="#_x0000_t202" style="position:absolute;margin-left:498.4pt;margin-top:35.4pt;width:14.1pt;height:1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" filled="f" stroked="f">
              <v:textbox inset="0,0,0,0">
                <w:txbxContent>
                  <w:p w:rsidR="003D66F2" w:rsidRDefault="003D66F2">
                    <w:pPr>
                      <w:spacing w:line="220" w:lineRule="exact"/>
                      <w:ind w:left="40"/>
                    </w:pPr>
                    <w:r>
                      <w:fldChar w:fldCharType="begin"/>
                    </w:r>
                    <w:r>
                      <w:rPr>
                        <w:w w:val="99"/>
                      </w:rPr>
                      <w:instrText xml:space="preserve"> PAGE </w:instrText>
                    </w:r>
                    <w:r>
                      <w:fldChar w:fldCharType="separate"/>
                    </w:r>
                    <w:r w:rsidR="00FD322F">
                      <w:rPr>
                        <w:noProof/>
                        <w:w w:val="99"/>
                      </w:rPr>
                      <w:t>20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F742B"/>
    <w:multiLevelType w:val="hybridMultilevel"/>
    <w:tmpl w:val="BAE229C6"/>
    <w:lvl w:ilvl="0" w:tplc="04160001">
      <w:start w:val="1"/>
      <w:numFmt w:val="bullet"/>
      <w:lvlText w:val=""/>
      <w:lvlJc w:val="left"/>
      <w:pPr>
        <w:ind w:left="822" w:hanging="360"/>
      </w:pPr>
      <w:rPr>
        <w:rFonts w:ascii="Symbol" w:hAnsi="Symbol" w:hint="default"/>
      </w:rPr>
    </w:lvl>
    <w:lvl w:ilvl="1" w:tplc="04160003" w:tentative="1">
      <w:start w:val="1"/>
      <w:numFmt w:val="bullet"/>
      <w:lvlText w:val="o"/>
      <w:lvlJc w:val="left"/>
      <w:pPr>
        <w:ind w:left="1542" w:hanging="360"/>
      </w:pPr>
      <w:rPr>
        <w:rFonts w:ascii="Courier New" w:hAnsi="Courier New" w:cs="Courier New" w:hint="default"/>
      </w:rPr>
    </w:lvl>
    <w:lvl w:ilvl="2" w:tplc="04160005" w:tentative="1">
      <w:start w:val="1"/>
      <w:numFmt w:val="bullet"/>
      <w:lvlText w:val=""/>
      <w:lvlJc w:val="left"/>
      <w:pPr>
        <w:ind w:left="2262" w:hanging="360"/>
      </w:pPr>
      <w:rPr>
        <w:rFonts w:ascii="Wingdings" w:hAnsi="Wingdings" w:hint="default"/>
      </w:rPr>
    </w:lvl>
    <w:lvl w:ilvl="3" w:tplc="04160001" w:tentative="1">
      <w:start w:val="1"/>
      <w:numFmt w:val="bullet"/>
      <w:lvlText w:val=""/>
      <w:lvlJc w:val="left"/>
      <w:pPr>
        <w:ind w:left="2982" w:hanging="360"/>
      </w:pPr>
      <w:rPr>
        <w:rFonts w:ascii="Symbol" w:hAnsi="Symbol" w:hint="default"/>
      </w:rPr>
    </w:lvl>
    <w:lvl w:ilvl="4" w:tplc="04160003" w:tentative="1">
      <w:start w:val="1"/>
      <w:numFmt w:val="bullet"/>
      <w:lvlText w:val="o"/>
      <w:lvlJc w:val="left"/>
      <w:pPr>
        <w:ind w:left="3702" w:hanging="360"/>
      </w:pPr>
      <w:rPr>
        <w:rFonts w:ascii="Courier New" w:hAnsi="Courier New" w:cs="Courier New" w:hint="default"/>
      </w:rPr>
    </w:lvl>
    <w:lvl w:ilvl="5" w:tplc="04160005" w:tentative="1">
      <w:start w:val="1"/>
      <w:numFmt w:val="bullet"/>
      <w:lvlText w:val=""/>
      <w:lvlJc w:val="left"/>
      <w:pPr>
        <w:ind w:left="4422" w:hanging="360"/>
      </w:pPr>
      <w:rPr>
        <w:rFonts w:ascii="Wingdings" w:hAnsi="Wingdings" w:hint="default"/>
      </w:rPr>
    </w:lvl>
    <w:lvl w:ilvl="6" w:tplc="04160001" w:tentative="1">
      <w:start w:val="1"/>
      <w:numFmt w:val="bullet"/>
      <w:lvlText w:val=""/>
      <w:lvlJc w:val="left"/>
      <w:pPr>
        <w:ind w:left="5142" w:hanging="360"/>
      </w:pPr>
      <w:rPr>
        <w:rFonts w:ascii="Symbol" w:hAnsi="Symbol" w:hint="default"/>
      </w:rPr>
    </w:lvl>
    <w:lvl w:ilvl="7" w:tplc="04160003" w:tentative="1">
      <w:start w:val="1"/>
      <w:numFmt w:val="bullet"/>
      <w:lvlText w:val="o"/>
      <w:lvlJc w:val="left"/>
      <w:pPr>
        <w:ind w:left="5862" w:hanging="360"/>
      </w:pPr>
      <w:rPr>
        <w:rFonts w:ascii="Courier New" w:hAnsi="Courier New" w:cs="Courier New" w:hint="default"/>
      </w:rPr>
    </w:lvl>
    <w:lvl w:ilvl="8" w:tplc="04160005" w:tentative="1">
      <w:start w:val="1"/>
      <w:numFmt w:val="bullet"/>
      <w:lvlText w:val=""/>
      <w:lvlJc w:val="left"/>
      <w:pPr>
        <w:ind w:left="6582" w:hanging="360"/>
      </w:pPr>
      <w:rPr>
        <w:rFonts w:ascii="Wingdings" w:hAnsi="Wingdings" w:hint="default"/>
      </w:rPr>
    </w:lvl>
  </w:abstractNum>
  <w:abstractNum w:abstractNumId="1">
    <w:nsid w:val="0D786A29"/>
    <w:multiLevelType w:val="hybridMultilevel"/>
    <w:tmpl w:val="C55A8EDA"/>
    <w:lvl w:ilvl="0" w:tplc="D6F868E6">
      <w:numFmt w:val="bullet"/>
      <w:lvlText w:val=""/>
      <w:lvlJc w:val="left"/>
      <w:pPr>
        <w:ind w:left="1068" w:hanging="360"/>
      </w:pPr>
      <w:rPr>
        <w:rFonts w:ascii="Symbol" w:eastAsiaTheme="minorHAnsi"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4BB0F8F"/>
    <w:multiLevelType w:val="hybridMultilevel"/>
    <w:tmpl w:val="9FB8BEAA"/>
    <w:lvl w:ilvl="0" w:tplc="9490E0DA">
      <w:start w:val="4"/>
      <w:numFmt w:val="bullet"/>
      <w:lvlText w:val=""/>
      <w:lvlJc w:val="left"/>
      <w:pPr>
        <w:ind w:left="720" w:hanging="360"/>
      </w:pPr>
      <w:rPr>
        <w:rFonts w:ascii="Symbol" w:eastAsiaTheme="minorHAnsi" w:hAnsi="Symbol" w:cs="Times New Roman" w:hint="default"/>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F71608A"/>
    <w:multiLevelType w:val="multilevel"/>
    <w:tmpl w:val="9C7488CA"/>
    <w:lvl w:ilvl="0">
      <w:start w:val="3"/>
      <w:numFmt w:val="decimal"/>
      <w:lvlText w:val="%1"/>
      <w:lvlJc w:val="left"/>
      <w:pPr>
        <w:ind w:left="360" w:hanging="360"/>
      </w:pPr>
      <w:rPr>
        <w:rFonts w:hint="default"/>
      </w:rPr>
    </w:lvl>
    <w:lvl w:ilvl="1">
      <w:start w:val="1"/>
      <w:numFmt w:val="decimal"/>
      <w:lvlText w:val="%1.%2"/>
      <w:lvlJc w:val="left"/>
      <w:pPr>
        <w:ind w:left="462" w:hanging="36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386" w:hanging="108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950" w:hanging="144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514" w:hanging="1800"/>
      </w:pPr>
      <w:rPr>
        <w:rFonts w:hint="default"/>
      </w:rPr>
    </w:lvl>
    <w:lvl w:ilvl="8">
      <w:start w:val="1"/>
      <w:numFmt w:val="decimal"/>
      <w:lvlText w:val="%1.%2.%3.%4.%5.%6.%7.%8.%9"/>
      <w:lvlJc w:val="left"/>
      <w:pPr>
        <w:ind w:left="2616" w:hanging="1800"/>
      </w:pPr>
      <w:rPr>
        <w:rFonts w:hint="default"/>
      </w:rPr>
    </w:lvl>
  </w:abstractNum>
  <w:abstractNum w:abstractNumId="4">
    <w:nsid w:val="3C375713"/>
    <w:multiLevelType w:val="hybridMultilevel"/>
    <w:tmpl w:val="654ED3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29E6F5E"/>
    <w:multiLevelType w:val="hybridMultilevel"/>
    <w:tmpl w:val="05E0D2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9017D5C"/>
    <w:multiLevelType w:val="hybridMultilevel"/>
    <w:tmpl w:val="DC5EB99C"/>
    <w:lvl w:ilvl="0" w:tplc="07500694">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nsid w:val="4DA90B5B"/>
    <w:multiLevelType w:val="hybridMultilevel"/>
    <w:tmpl w:val="B942C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AEE77FA"/>
    <w:multiLevelType w:val="multilevel"/>
    <w:tmpl w:val="F72279B0"/>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4"/>
  </w:num>
  <w:num w:numId="4">
    <w:abstractNumId w:val="5"/>
  </w:num>
  <w:num w:numId="5">
    <w:abstractNumId w:val="8"/>
  </w:num>
  <w:num w:numId="6">
    <w:abstractNumId w:val="7"/>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369"/>
    <w:rsid w:val="00011AF1"/>
    <w:rsid w:val="00033ABB"/>
    <w:rsid w:val="00051D9B"/>
    <w:rsid w:val="00075420"/>
    <w:rsid w:val="00077FEA"/>
    <w:rsid w:val="000A6895"/>
    <w:rsid w:val="000C5A40"/>
    <w:rsid w:val="000D79AA"/>
    <w:rsid w:val="000F3086"/>
    <w:rsid w:val="00102605"/>
    <w:rsid w:val="00126F28"/>
    <w:rsid w:val="0015083D"/>
    <w:rsid w:val="0019680E"/>
    <w:rsid w:val="001D0AB0"/>
    <w:rsid w:val="001F374E"/>
    <w:rsid w:val="001F6476"/>
    <w:rsid w:val="00207EF5"/>
    <w:rsid w:val="002176AC"/>
    <w:rsid w:val="00235A0B"/>
    <w:rsid w:val="00236BDB"/>
    <w:rsid w:val="002448CB"/>
    <w:rsid w:val="00244E44"/>
    <w:rsid w:val="00247FF1"/>
    <w:rsid w:val="00275A85"/>
    <w:rsid w:val="00277E9E"/>
    <w:rsid w:val="00296923"/>
    <w:rsid w:val="002A0225"/>
    <w:rsid w:val="002B6329"/>
    <w:rsid w:val="002C041B"/>
    <w:rsid w:val="002E097F"/>
    <w:rsid w:val="002E7637"/>
    <w:rsid w:val="0030072C"/>
    <w:rsid w:val="00304E42"/>
    <w:rsid w:val="00366F77"/>
    <w:rsid w:val="003713DD"/>
    <w:rsid w:val="00371E54"/>
    <w:rsid w:val="00375675"/>
    <w:rsid w:val="00376E0B"/>
    <w:rsid w:val="003936AF"/>
    <w:rsid w:val="00394BE8"/>
    <w:rsid w:val="003A3DC3"/>
    <w:rsid w:val="003A4C65"/>
    <w:rsid w:val="003C0CD7"/>
    <w:rsid w:val="003C448D"/>
    <w:rsid w:val="003D66F2"/>
    <w:rsid w:val="003E0B8C"/>
    <w:rsid w:val="003F3D9E"/>
    <w:rsid w:val="004248D6"/>
    <w:rsid w:val="00432724"/>
    <w:rsid w:val="0046165F"/>
    <w:rsid w:val="00462DBB"/>
    <w:rsid w:val="00463AA7"/>
    <w:rsid w:val="004645DF"/>
    <w:rsid w:val="00464F34"/>
    <w:rsid w:val="004A0F89"/>
    <w:rsid w:val="004B2CDC"/>
    <w:rsid w:val="004B648D"/>
    <w:rsid w:val="004C2709"/>
    <w:rsid w:val="004D2071"/>
    <w:rsid w:val="004F5C1B"/>
    <w:rsid w:val="00506184"/>
    <w:rsid w:val="00512C68"/>
    <w:rsid w:val="00536A42"/>
    <w:rsid w:val="00555E98"/>
    <w:rsid w:val="0058322A"/>
    <w:rsid w:val="00591214"/>
    <w:rsid w:val="00595A40"/>
    <w:rsid w:val="005A1991"/>
    <w:rsid w:val="005A358E"/>
    <w:rsid w:val="005B23BD"/>
    <w:rsid w:val="005B311B"/>
    <w:rsid w:val="005F5369"/>
    <w:rsid w:val="006073AC"/>
    <w:rsid w:val="00607CE3"/>
    <w:rsid w:val="0064196F"/>
    <w:rsid w:val="006529FE"/>
    <w:rsid w:val="00664C31"/>
    <w:rsid w:val="0066664A"/>
    <w:rsid w:val="00670C6D"/>
    <w:rsid w:val="006779A6"/>
    <w:rsid w:val="00686324"/>
    <w:rsid w:val="006942FB"/>
    <w:rsid w:val="00697D17"/>
    <w:rsid w:val="006A2FD6"/>
    <w:rsid w:val="006A5864"/>
    <w:rsid w:val="006A6FE8"/>
    <w:rsid w:val="006B2A43"/>
    <w:rsid w:val="006C1919"/>
    <w:rsid w:val="006C2671"/>
    <w:rsid w:val="006D37B1"/>
    <w:rsid w:val="006F045F"/>
    <w:rsid w:val="00701D4C"/>
    <w:rsid w:val="0072680C"/>
    <w:rsid w:val="00727186"/>
    <w:rsid w:val="00737192"/>
    <w:rsid w:val="007459F0"/>
    <w:rsid w:val="007623C8"/>
    <w:rsid w:val="00776C81"/>
    <w:rsid w:val="007A10D1"/>
    <w:rsid w:val="007A20E8"/>
    <w:rsid w:val="007B49BE"/>
    <w:rsid w:val="007C7506"/>
    <w:rsid w:val="0080159A"/>
    <w:rsid w:val="00823442"/>
    <w:rsid w:val="00842C84"/>
    <w:rsid w:val="00853437"/>
    <w:rsid w:val="0086096E"/>
    <w:rsid w:val="00872FAE"/>
    <w:rsid w:val="00873E25"/>
    <w:rsid w:val="008746A2"/>
    <w:rsid w:val="008A3F80"/>
    <w:rsid w:val="008B3844"/>
    <w:rsid w:val="008C3903"/>
    <w:rsid w:val="00907BDB"/>
    <w:rsid w:val="0091614C"/>
    <w:rsid w:val="00916F0D"/>
    <w:rsid w:val="009220F4"/>
    <w:rsid w:val="00922A3A"/>
    <w:rsid w:val="00937547"/>
    <w:rsid w:val="00951CC4"/>
    <w:rsid w:val="009724FA"/>
    <w:rsid w:val="009827A6"/>
    <w:rsid w:val="009831FE"/>
    <w:rsid w:val="00987602"/>
    <w:rsid w:val="00993F2F"/>
    <w:rsid w:val="009A3023"/>
    <w:rsid w:val="009A51DD"/>
    <w:rsid w:val="009A785A"/>
    <w:rsid w:val="009B520F"/>
    <w:rsid w:val="009F411B"/>
    <w:rsid w:val="00A01D60"/>
    <w:rsid w:val="00A073CE"/>
    <w:rsid w:val="00A242A0"/>
    <w:rsid w:val="00A404F3"/>
    <w:rsid w:val="00A46C83"/>
    <w:rsid w:val="00A720C6"/>
    <w:rsid w:val="00A86EFE"/>
    <w:rsid w:val="00A8741A"/>
    <w:rsid w:val="00AB4032"/>
    <w:rsid w:val="00AB7EC8"/>
    <w:rsid w:val="00AC27CE"/>
    <w:rsid w:val="00AD0747"/>
    <w:rsid w:val="00AF57F4"/>
    <w:rsid w:val="00B238C8"/>
    <w:rsid w:val="00B26A66"/>
    <w:rsid w:val="00B27B26"/>
    <w:rsid w:val="00B3224C"/>
    <w:rsid w:val="00B35059"/>
    <w:rsid w:val="00B449A0"/>
    <w:rsid w:val="00B55DC1"/>
    <w:rsid w:val="00B86061"/>
    <w:rsid w:val="00BE12A7"/>
    <w:rsid w:val="00BF032C"/>
    <w:rsid w:val="00C31A4E"/>
    <w:rsid w:val="00C35495"/>
    <w:rsid w:val="00C43B92"/>
    <w:rsid w:val="00CB67EB"/>
    <w:rsid w:val="00CC517B"/>
    <w:rsid w:val="00CD2C31"/>
    <w:rsid w:val="00CE26E4"/>
    <w:rsid w:val="00CF32B6"/>
    <w:rsid w:val="00D008BA"/>
    <w:rsid w:val="00D0438F"/>
    <w:rsid w:val="00D1520E"/>
    <w:rsid w:val="00D175F7"/>
    <w:rsid w:val="00D43F21"/>
    <w:rsid w:val="00D466C9"/>
    <w:rsid w:val="00D62734"/>
    <w:rsid w:val="00D653CB"/>
    <w:rsid w:val="00D66F1B"/>
    <w:rsid w:val="00D827BC"/>
    <w:rsid w:val="00D83CB9"/>
    <w:rsid w:val="00D93D0B"/>
    <w:rsid w:val="00DA5DE4"/>
    <w:rsid w:val="00DA6932"/>
    <w:rsid w:val="00DE131D"/>
    <w:rsid w:val="00DF16BB"/>
    <w:rsid w:val="00E06919"/>
    <w:rsid w:val="00E16240"/>
    <w:rsid w:val="00E35F54"/>
    <w:rsid w:val="00E449AA"/>
    <w:rsid w:val="00E54854"/>
    <w:rsid w:val="00E71CAC"/>
    <w:rsid w:val="00E87CA9"/>
    <w:rsid w:val="00E901A3"/>
    <w:rsid w:val="00EA389F"/>
    <w:rsid w:val="00EB00F9"/>
    <w:rsid w:val="00EB208F"/>
    <w:rsid w:val="00EB31A5"/>
    <w:rsid w:val="00EB5B53"/>
    <w:rsid w:val="00ED1B05"/>
    <w:rsid w:val="00EF2BC3"/>
    <w:rsid w:val="00EF7F04"/>
    <w:rsid w:val="00F1326D"/>
    <w:rsid w:val="00F13B3D"/>
    <w:rsid w:val="00F16802"/>
    <w:rsid w:val="00F25939"/>
    <w:rsid w:val="00F32BBD"/>
    <w:rsid w:val="00F74AE1"/>
    <w:rsid w:val="00F87291"/>
    <w:rsid w:val="00FB1A2E"/>
    <w:rsid w:val="00FC5B58"/>
    <w:rsid w:val="00FD322F"/>
    <w:rsid w:val="00FE5F38"/>
    <w:rsid w:val="00FF0C8B"/>
    <w:rsid w:val="00FF53DD"/>
    <w:rsid w:val="00FF5A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5C2687-B25C-4716-9229-17B2D39A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AF1"/>
    <w:pPr>
      <w:spacing w:before="120" w:after="0" w:line="360" w:lineRule="auto"/>
    </w:pPr>
    <w:rPr>
      <w:rFonts w:ascii="Arial" w:eastAsia="Times New Roman" w:hAnsi="Arial" w:cs="Times New Roman"/>
      <w:sz w:val="24"/>
      <w:szCs w:val="20"/>
    </w:rPr>
  </w:style>
  <w:style w:type="paragraph" w:styleId="Ttulo1">
    <w:name w:val="heading 1"/>
    <w:basedOn w:val="Normal"/>
    <w:next w:val="Normal"/>
    <w:link w:val="Ttulo1Char"/>
    <w:uiPriority w:val="9"/>
    <w:qFormat/>
    <w:rsid w:val="0019680E"/>
    <w:pPr>
      <w:keepNext/>
      <w:keepLines/>
      <w:spacing w:before="240" w:after="240"/>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FF5A38"/>
    <w:pPr>
      <w:keepNext/>
      <w:keepLines/>
      <w:spacing w:before="240"/>
      <w:outlineLvl w:val="1"/>
    </w:pPr>
    <w:rPr>
      <w:rFonts w:eastAsiaTheme="majorEastAsia" w:cs="Arial"/>
      <w:b/>
      <w:szCs w:val="24"/>
    </w:rPr>
  </w:style>
  <w:style w:type="paragraph" w:styleId="Ttulo3">
    <w:name w:val="heading 3"/>
    <w:basedOn w:val="Normal"/>
    <w:next w:val="Normal"/>
    <w:link w:val="Ttulo3Char"/>
    <w:uiPriority w:val="9"/>
    <w:unhideWhenUsed/>
    <w:qFormat/>
    <w:rsid w:val="00EB31A5"/>
    <w:pPr>
      <w:keepNext/>
      <w:keepLines/>
      <w:outlineLvl w:val="2"/>
    </w:pPr>
    <w:rPr>
      <w:rFonts w:eastAsiaTheme="majorEastAsia" w:cstheme="majorBidi"/>
      <w:bCs/>
      <w:szCs w:val="24"/>
    </w:rPr>
  </w:style>
  <w:style w:type="paragraph" w:styleId="Ttulo4">
    <w:name w:val="heading 4"/>
    <w:basedOn w:val="Normal"/>
    <w:next w:val="Normal"/>
    <w:link w:val="Ttulo4Char"/>
    <w:uiPriority w:val="9"/>
    <w:unhideWhenUsed/>
    <w:qFormat/>
    <w:rsid w:val="00EB31A5"/>
    <w:pPr>
      <w:keepNext/>
      <w:keepLines/>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EB31A5"/>
    <w:rPr>
      <w:rFonts w:ascii="Arial" w:eastAsiaTheme="majorEastAsia" w:hAnsi="Arial" w:cstheme="majorBidi"/>
      <w:bCs/>
      <w:sz w:val="24"/>
      <w:szCs w:val="24"/>
    </w:rPr>
  </w:style>
  <w:style w:type="paragraph" w:customStyle="1" w:styleId="Default">
    <w:name w:val="Default"/>
    <w:rsid w:val="005F5369"/>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66664A"/>
    <w:pPr>
      <w:ind w:left="720"/>
      <w:contextualSpacing/>
    </w:pPr>
  </w:style>
  <w:style w:type="character" w:customStyle="1" w:styleId="Ttulo1Char">
    <w:name w:val="Título 1 Char"/>
    <w:basedOn w:val="Fontepargpadro"/>
    <w:link w:val="Ttulo1"/>
    <w:uiPriority w:val="9"/>
    <w:rsid w:val="0019680E"/>
    <w:rPr>
      <w:rFonts w:ascii="Arial" w:eastAsiaTheme="majorEastAsia" w:hAnsi="Arial" w:cstheme="majorBidi"/>
      <w:b/>
      <w:sz w:val="24"/>
      <w:szCs w:val="32"/>
    </w:rPr>
  </w:style>
  <w:style w:type="character" w:customStyle="1" w:styleId="Ttulo2Char">
    <w:name w:val="Título 2 Char"/>
    <w:basedOn w:val="Fontepargpadro"/>
    <w:link w:val="Ttulo2"/>
    <w:uiPriority w:val="9"/>
    <w:rsid w:val="00FF5A38"/>
    <w:rPr>
      <w:rFonts w:ascii="Arial" w:eastAsiaTheme="majorEastAsia" w:hAnsi="Arial" w:cs="Arial"/>
      <w:b/>
      <w:sz w:val="24"/>
      <w:szCs w:val="24"/>
    </w:rPr>
  </w:style>
  <w:style w:type="table" w:styleId="Tabelacomgrade">
    <w:name w:val="Table Grid"/>
    <w:basedOn w:val="Tabelanormal"/>
    <w:uiPriority w:val="39"/>
    <w:rsid w:val="00EB31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EB31A5"/>
    <w:pPr>
      <w:spacing w:after="200"/>
    </w:pPr>
    <w:rPr>
      <w:rFonts w:asciiTheme="minorHAnsi" w:eastAsiaTheme="minorHAnsi" w:hAnsiTheme="minorHAnsi" w:cstheme="minorBidi"/>
      <w:i/>
      <w:iCs/>
      <w:color w:val="44546A" w:themeColor="text2"/>
      <w:sz w:val="18"/>
      <w:szCs w:val="18"/>
    </w:rPr>
  </w:style>
  <w:style w:type="character" w:styleId="Hyperlink">
    <w:name w:val="Hyperlink"/>
    <w:basedOn w:val="Fontepargpadro"/>
    <w:uiPriority w:val="99"/>
    <w:unhideWhenUsed/>
    <w:rsid w:val="00EB31A5"/>
    <w:rPr>
      <w:color w:val="0000FF"/>
      <w:u w:val="single"/>
    </w:rPr>
  </w:style>
  <w:style w:type="character" w:customStyle="1" w:styleId="Ttulo4Char">
    <w:name w:val="Título 4 Char"/>
    <w:basedOn w:val="Fontepargpadro"/>
    <w:link w:val="Ttulo4"/>
    <w:uiPriority w:val="9"/>
    <w:rsid w:val="00EB31A5"/>
    <w:rPr>
      <w:rFonts w:ascii="Arial" w:eastAsiaTheme="majorEastAsia" w:hAnsi="Arial" w:cstheme="majorBidi"/>
      <w:iCs/>
      <w:sz w:val="24"/>
      <w:szCs w:val="20"/>
    </w:rPr>
  </w:style>
  <w:style w:type="paragraph" w:styleId="CabealhodoSumrio">
    <w:name w:val="TOC Heading"/>
    <w:basedOn w:val="Ttulo1"/>
    <w:next w:val="Normal"/>
    <w:uiPriority w:val="39"/>
    <w:unhideWhenUsed/>
    <w:qFormat/>
    <w:rsid w:val="00236BDB"/>
    <w:pPr>
      <w:spacing w:after="0" w:line="259" w:lineRule="auto"/>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304E42"/>
    <w:pPr>
      <w:tabs>
        <w:tab w:val="right" w:pos="0"/>
        <w:tab w:val="right" w:leader="dot" w:pos="9061"/>
      </w:tabs>
      <w:spacing w:before="0"/>
    </w:pPr>
  </w:style>
  <w:style w:type="paragraph" w:styleId="Sumrio2">
    <w:name w:val="toc 2"/>
    <w:basedOn w:val="Normal"/>
    <w:next w:val="Normal"/>
    <w:autoRedefine/>
    <w:uiPriority w:val="39"/>
    <w:unhideWhenUsed/>
    <w:rsid w:val="00236BDB"/>
    <w:pPr>
      <w:spacing w:after="100"/>
      <w:ind w:left="240"/>
    </w:pPr>
  </w:style>
  <w:style w:type="paragraph" w:styleId="Sumrio3">
    <w:name w:val="toc 3"/>
    <w:basedOn w:val="Normal"/>
    <w:next w:val="Normal"/>
    <w:autoRedefine/>
    <w:uiPriority w:val="39"/>
    <w:unhideWhenUsed/>
    <w:rsid w:val="00236BDB"/>
    <w:pPr>
      <w:spacing w:after="100"/>
      <w:ind w:left="480"/>
    </w:pPr>
  </w:style>
  <w:style w:type="paragraph" w:styleId="Cabealho">
    <w:name w:val="header"/>
    <w:basedOn w:val="Normal"/>
    <w:link w:val="CabealhoChar"/>
    <w:uiPriority w:val="99"/>
    <w:unhideWhenUsed/>
    <w:rsid w:val="00235A0B"/>
    <w:pPr>
      <w:tabs>
        <w:tab w:val="center" w:pos="4252"/>
        <w:tab w:val="right" w:pos="8504"/>
      </w:tabs>
      <w:spacing w:before="0" w:line="240" w:lineRule="auto"/>
    </w:pPr>
  </w:style>
  <w:style w:type="character" w:customStyle="1" w:styleId="CabealhoChar">
    <w:name w:val="Cabeçalho Char"/>
    <w:basedOn w:val="Fontepargpadro"/>
    <w:link w:val="Cabealho"/>
    <w:uiPriority w:val="99"/>
    <w:rsid w:val="00235A0B"/>
    <w:rPr>
      <w:rFonts w:ascii="Arial" w:eastAsia="Times New Roman" w:hAnsi="Arial" w:cs="Times New Roman"/>
      <w:sz w:val="24"/>
      <w:szCs w:val="20"/>
    </w:rPr>
  </w:style>
  <w:style w:type="paragraph" w:styleId="Rodap">
    <w:name w:val="footer"/>
    <w:basedOn w:val="Normal"/>
    <w:link w:val="RodapChar"/>
    <w:uiPriority w:val="99"/>
    <w:unhideWhenUsed/>
    <w:rsid w:val="00235A0B"/>
    <w:pPr>
      <w:tabs>
        <w:tab w:val="center" w:pos="4252"/>
        <w:tab w:val="right" w:pos="8504"/>
      </w:tabs>
      <w:spacing w:before="0" w:line="240" w:lineRule="auto"/>
    </w:pPr>
  </w:style>
  <w:style w:type="character" w:customStyle="1" w:styleId="RodapChar">
    <w:name w:val="Rodapé Char"/>
    <w:basedOn w:val="Fontepargpadro"/>
    <w:link w:val="Rodap"/>
    <w:uiPriority w:val="99"/>
    <w:rsid w:val="00235A0B"/>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tp.niehs.nih.gov/iccvam/suppdocs/feddocs/oecd/oecd_gl414.pdf"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europa.eu/environment/chemicals/lab_animals/pdf/report_ewg.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lanalto.gov.br/ccivil_03/_ato2007-2010/2008/lei/l11794.htm" TargetMode="External"/><Relationship Id="rId4" Type="http://schemas.openxmlformats.org/officeDocument/2006/relationships/settings" Target="settings.xml"/><Relationship Id="rId9" Type="http://schemas.openxmlformats.org/officeDocument/2006/relationships/hyperlink" Target="http://www.planalto.gov.br/ccivil_03/_Ato2007-2010/2009/Decreto/D6899.ht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t:contentTypeSchema xmlns:ct="http://schemas.microsoft.com/office/2006/metadata/contentType" xmlns:ma="http://schemas.microsoft.com/office/2006/metadata/properties/metaAttributes" ct:_="" ma:_="" ma:contentTypeName="Documento" ma:contentTypeID="0x0101004F3A6212E3E92143BCE08B85DA8B1DC1" ma:contentTypeVersion="7" ma:contentTypeDescription="Crie um novo documento." ma:contentTypeScope="" ma:versionID="dff862d67d6106e18ea60be092b4eae1">
  <xsd:schema xmlns:xsd="http://www.w3.org/2001/XMLSchema" xmlns:xs="http://www.w3.org/2001/XMLSchema" xmlns:p="http://schemas.microsoft.com/office/2006/metadata/properties" xmlns:ns2="ee5357c5-75c4-428c-b773-fe098417f0fd" targetNamespace="http://schemas.microsoft.com/office/2006/metadata/properties" ma:root="true" ma:fieldsID="184f5fe6f66b0f83207f936beecdb3ee" ns2:_="">
    <xsd:import namespace="ee5357c5-75c4-428c-b773-fe098417f0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5357c5-75c4-428c-b773-fe098417f0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6231A0-5D11-4A92-851A-5927B49C8950}">
  <ds:schemaRefs>
    <ds:schemaRef ds:uri="http://schemas.openxmlformats.org/officeDocument/2006/bibliography"/>
  </ds:schemaRefs>
</ds:datastoreItem>
</file>

<file path=customXml/itemProps2.xml><?xml version="1.0" encoding="utf-8"?>
<ds:datastoreItem xmlns:ds="http://schemas.openxmlformats.org/officeDocument/2006/customXml" ds:itemID="{215390F3-41B4-44D2-BFE3-E1B867E6FA22}"/>
</file>

<file path=customXml/itemProps3.xml><?xml version="1.0" encoding="utf-8"?>
<ds:datastoreItem xmlns:ds="http://schemas.openxmlformats.org/officeDocument/2006/customXml" ds:itemID="{738E1723-93AA-4AF2-9F72-CCC9DF720746}"/>
</file>

<file path=customXml/itemProps4.xml><?xml version="1.0" encoding="utf-8"?>
<ds:datastoreItem xmlns:ds="http://schemas.openxmlformats.org/officeDocument/2006/customXml" ds:itemID="{48F942F1-5F68-4230-8E2D-79C083B5B2C2}"/>
</file>

<file path=docProps/app.xml><?xml version="1.0" encoding="utf-8"?>
<Properties xmlns="http://schemas.openxmlformats.org/officeDocument/2006/extended-properties" xmlns:vt="http://schemas.openxmlformats.org/officeDocument/2006/docPropsVTypes">
  <Template>Normal</Template>
  <TotalTime>1226</TotalTime>
  <Pages>30</Pages>
  <Words>7718</Words>
  <Characters>41680</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Breunig</dc:creator>
  <cp:keywords/>
  <dc:description/>
  <cp:lastModifiedBy>Raquel Breunig</cp:lastModifiedBy>
  <cp:revision>151</cp:revision>
  <dcterms:created xsi:type="dcterms:W3CDTF">2019-03-28T17:29:00Z</dcterms:created>
  <dcterms:modified xsi:type="dcterms:W3CDTF">2020-10-08T17:21:00Z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7e4bcc27-ae3f-39d7-91cc-26d2548d4f5f</vt:lpwstr>
  </property>
  <property fmtid="{D5CDD505-2E9C-101B-9397-08002B2CF9AE}" pid="24" name="Mendeley Citation Style_1">
    <vt:lpwstr>http://www.zotero.org/styles/nature</vt:lpwstr>
  </property>
  <property fmtid="{D5CDD505-2E9C-101B-9397-08002B2CF9AE}" pid="25" name="ContentTypeId">
    <vt:lpwstr>0x0101004F3A6212E3E92143BCE08B85DA8B1DC1</vt:lpwstr>
  </property>
</Properties>
</file>