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33788" cy="7967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796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Nos: {{Nome_completo_IT}} ({{Data_nascimento_IT}} - {{Estado_nascimento_IT}} - Brasil ) por conta própria e como o exercedor da autoridade parental - em conjunto a {{Nome_completo_outro}} ({{Data_nascimento_outro}} - {{Estado_nascimento_outro}} - Brasil )  - do menor  {{Nome_completo_menor}} ({{Data_nascimento_menor}} - {{Estado_nascimento_menor}} - Brasil); delegamos para representar, defender e auxiliar-nos neste julgamento, para o reconhecimento da cidadania italiana perante o Tribunal de {{Tribunal}}, em todas as fases, estados e graus, incluindo qualquer fase de oposição, bem como a fase de execução e qualquer oposição à mesma e a qualquer outro ato inerente, conseqüente e subsequente, o advogado Vincenzo Carosi, elegendo o domicílio como na epígrafe e conferindo todos os poderes e faculdades do art. 84 c.p.c. e também o poder de realizar atos que envolvam a provisão do direito em disputa, nomear promotores internos para eleger domicílio, ser substituído, nomear outros promotores e advogados.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esta procuração, o advogado Vincenzo Carosi também fica autorizado a solicitar os posteriores registros, transcrições e averbações legais, nos registros cartoriais, da certidão de nascimento dos atuais requerentes, como cidadãos italianos, bem como o registro e anotação na certidão de nascimento e nos registros matrimoniais dos requerentes. Os documentos de identidade dos signatários estão anexados.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{{Nome_completo_IT}}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{{Nome_completo_outro}}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