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</w:rPr>
      </w:pPr>
      <w:r>
        <w:rPr>
          <w:rFonts w:hint="default"/>
        </w:rPr>
        <w:t>El ejemplo muestra la alimentación a una prensa de desbarbado. El dispositivo de manipulación recoge</w:t>
      </w:r>
      <w:r>
        <w:rPr>
          <w:rFonts w:hint="default"/>
          <w:lang w:val="es-MX"/>
        </w:rPr>
        <w:t xml:space="preserve"> </w:t>
      </w:r>
      <w:r>
        <w:rPr>
          <w:rFonts w:hint="default"/>
        </w:rPr>
        <w:t>las fundiciones orientadas desde el transportador utilizando una pinza de doble mandíbula y las posiciones</w:t>
      </w:r>
      <w:r>
        <w:rPr>
          <w:rFonts w:hint="default"/>
          <w:lang w:val="es-MX"/>
        </w:rPr>
        <w:t xml:space="preserve"> </w:t>
      </w:r>
      <w:r>
        <w:rPr>
          <w:rFonts w:hint="default"/>
        </w:rPr>
        <w:t>uno a la vez sobre la placa de apertura y debajo del émbolo. Después de la desbarbado,</w:t>
      </w:r>
    </w:p>
    <w:p>
      <w:pPr>
        <w:rPr>
          <w:rFonts w:hint="default"/>
        </w:rPr>
      </w:pPr>
      <w:r>
        <w:rPr>
          <w:rFonts w:hint="default"/>
        </w:rPr>
        <w:t>las piezas de trabajo son alimentadas por la fuerza gravitacional en un recipiente colector. el</w:t>
      </w:r>
    </w:p>
    <w:p>
      <w:pPr>
        <w:rPr>
          <w:rFonts w:hint="default"/>
        </w:rPr>
      </w:pPr>
      <w:r>
        <w:rPr>
          <w:rFonts w:hint="default"/>
        </w:rPr>
        <w:t>brazo giratorio está equipado con un contrapeso para evitar cargas excéntricas que</w:t>
      </w:r>
    </w:p>
    <w:p>
      <w:pPr>
        <w:rPr>
          <w:rFonts w:hint="default"/>
        </w:rPr>
      </w:pPr>
      <w:r>
        <w:rPr>
          <w:rFonts w:hint="default"/>
        </w:rPr>
        <w:t xml:space="preserve">llevaría a un exceso de desgaste de la guía. </w:t>
      </w:r>
    </w:p>
    <w:p>
      <w:r>
        <w:rPr>
          <w:rFonts w:hint="default"/>
        </w:rPr>
        <w:t>Las posiciones finales están equipadas con</w:t>
      </w:r>
      <w:r>
        <w:rPr>
          <w:rFonts w:hint="default"/>
          <w:lang w:val="es-MX"/>
        </w:rPr>
        <w:t xml:space="preserve"> </w:t>
      </w:r>
      <w:r>
        <w:rPr>
          <w:rFonts w:hint="default"/>
        </w:rPr>
        <w:t>cilindros de amortiguación hidráulicos. Esta secuencia de movimiento podría, por supuesto, también</w:t>
      </w:r>
      <w:r>
        <w:rPr>
          <w:rFonts w:hint="default"/>
          <w:lang w:val="es-MX"/>
        </w:rPr>
        <w:t xml:space="preserve"> </w:t>
      </w:r>
      <w:r>
        <w:rPr>
          <w:rFonts w:hint="default"/>
        </w:rPr>
        <w:t>puede lograrse mediante el uso de otras configuraciones de accionamientos neumáticos,</w:t>
      </w:r>
      <w:r>
        <w:rPr>
          <w:rFonts w:hint="default"/>
          <w:lang w:val="es-MX"/>
        </w:rPr>
        <w:t xml:space="preserve"> </w:t>
      </w:r>
      <w:r>
        <w:rPr>
          <w:rFonts w:hint="default"/>
        </w:rPr>
        <w:t>dispositivos de manipulación con coordenadas cartesianas utilizando ejes lineales.</w:t>
      </w:r>
    </w:p>
    <w:p/>
    <w:p/>
    <w:p/>
    <w:p>
      <w:r>
        <w:drawing>
          <wp:inline distT="0" distB="0" distL="114300" distR="114300">
            <wp:extent cx="5266690" cy="3101340"/>
            <wp:effectExtent l="0" t="0" r="1016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01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s-MX"/>
        </w:rPr>
      </w:pPr>
      <w:r>
        <w:rPr>
          <w:rFonts w:hint="default"/>
        </w:rPr>
        <w:t xml:space="preserve">1 </w:t>
      </w:r>
      <w:r>
        <w:rPr>
          <w:rFonts w:hint="default"/>
          <w:lang w:val="es-MX"/>
        </w:rPr>
        <w:t>prensa</w:t>
      </w:r>
    </w:p>
    <w:p>
      <w:pPr>
        <w:rPr>
          <w:rFonts w:hint="default"/>
        </w:rPr>
      </w:pPr>
      <w:r>
        <w:rPr>
          <w:rFonts w:hint="default"/>
        </w:rPr>
        <w:t>2 émbolo de desbarbado</w:t>
      </w:r>
    </w:p>
    <w:p>
      <w:pPr>
        <w:rPr>
          <w:rFonts w:hint="default"/>
        </w:rPr>
      </w:pPr>
      <w:r>
        <w:rPr>
          <w:rFonts w:hint="default"/>
        </w:rPr>
        <w:t>3 placa de apertura</w:t>
      </w:r>
    </w:p>
    <w:p>
      <w:pPr>
        <w:rPr>
          <w:rFonts w:hint="default"/>
        </w:rPr>
      </w:pPr>
      <w:r>
        <w:rPr>
          <w:rFonts w:hint="default"/>
        </w:rPr>
        <w:t>4 pinza de sujeción</w:t>
      </w:r>
    </w:p>
    <w:p>
      <w:pPr>
        <w:rPr>
          <w:rFonts w:hint="default"/>
        </w:rPr>
      </w:pPr>
      <w:r>
        <w:rPr>
          <w:rFonts w:hint="default"/>
        </w:rPr>
        <w:t>5</w:t>
      </w:r>
      <w:r>
        <w:rPr>
          <w:rFonts w:hint="default"/>
          <w:lang w:val="es-MX"/>
        </w:rPr>
        <w:t xml:space="preserve"> </w:t>
      </w:r>
      <w:r>
        <w:rPr>
          <w:rFonts w:hint="default"/>
        </w:rPr>
        <w:t>objeto Deburr Ed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(</w:t>
      </w:r>
      <w:r>
        <w:rPr>
          <w:rFonts w:hint="default"/>
        </w:rPr>
        <w:t>casting</w:t>
      </w:r>
      <w:r>
        <w:rPr>
          <w:rFonts w:hint="default"/>
          <w:lang w:val="es-MX"/>
        </w:rPr>
        <w:t>)</w:t>
      </w:r>
    </w:p>
    <w:p>
      <w:pPr>
        <w:rPr>
          <w:rFonts w:hint="default"/>
        </w:rPr>
      </w:pPr>
      <w:r>
        <w:rPr>
          <w:rFonts w:hint="default"/>
        </w:rPr>
        <w:t xml:space="preserve">6 </w:t>
      </w:r>
      <w:r>
        <w:rPr>
          <w:rFonts w:hint="default"/>
          <w:lang w:val="es-MX"/>
        </w:rPr>
        <w:t>C</w:t>
      </w:r>
      <w:r>
        <w:rPr>
          <w:rFonts w:hint="default"/>
        </w:rPr>
        <w:t>onducto de salida</w:t>
      </w:r>
    </w:p>
    <w:p>
      <w:pPr>
        <w:rPr>
          <w:rFonts w:hint="default"/>
          <w:lang w:val="es-MX"/>
        </w:rPr>
      </w:pPr>
      <w:r>
        <w:rPr>
          <w:rFonts w:hint="default"/>
        </w:rPr>
        <w:t>7 cinta transportadora</w:t>
      </w:r>
      <w:r>
        <w:rPr>
          <w:rFonts w:hint="default"/>
          <w:lang w:val="es-MX"/>
        </w:rPr>
        <w:t xml:space="preserve"> (conveyor)</w:t>
      </w:r>
    </w:p>
    <w:p>
      <w:pPr>
        <w:rPr>
          <w:rFonts w:hint="default"/>
        </w:rPr>
      </w:pPr>
      <w:r>
        <w:rPr>
          <w:rFonts w:hint="default"/>
        </w:rPr>
        <w:t xml:space="preserve">8 </w:t>
      </w:r>
      <w:r>
        <w:rPr>
          <w:rFonts w:hint="default"/>
          <w:lang w:val="es-MX"/>
        </w:rPr>
        <w:t>Tope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9 contrapeso</w:t>
      </w:r>
    </w:p>
    <w:p>
      <w:pPr>
        <w:rPr>
          <w:rFonts w:hint="default"/>
        </w:rPr>
      </w:pPr>
      <w:r>
        <w:rPr>
          <w:rFonts w:hint="default"/>
        </w:rPr>
        <w:t>10 unidad giratoria</w:t>
      </w:r>
    </w:p>
    <w:p>
      <w:pPr>
        <w:rPr>
          <w:rFonts w:hint="default"/>
        </w:rPr>
      </w:pPr>
      <w:r>
        <w:rPr>
          <w:rFonts w:hint="default"/>
        </w:rPr>
        <w:t>11 corredera elevadora</w:t>
      </w:r>
    </w:p>
    <w:p>
      <w:r>
        <w:rPr>
          <w:rFonts w:hint="default"/>
        </w:rPr>
        <w:t>12 soporte de montaje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3C04B5"/>
    <w:rsid w:val="1C3C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2019-02-19T15:29:00Z</dcterms:created>
  <dc:creator>farri</dc:creator>
  <cp:lastModifiedBy>farri</cp:lastModifiedBy>
  <dcterms:modified xsi:type="dcterms:W3CDTF">2019-02-19T15:34:05Z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2058-10.2.0.7635</vt:lpwstr>
  </property>
</Properties>
</file>