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sidR="0093002F">
        <w:rPr>
          <w:rFonts w:ascii="Arial" w:hAnsi="Arial" w:cs="Arial"/>
          <w:b/>
          <w:sz w:val="22"/>
          <w:szCs w:val="22"/>
          <w:lang w:val="es-PE"/>
        </w:rPr>
        <w:t>&lt;PROCESO_CAS&gt;</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&lt;CARGO&gt;</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sidR="0093002F">
        <w:rPr>
          <w:rFonts w:ascii="Arial" w:hAnsi="Arial" w:cs="Arial"/>
          <w:sz w:val="20"/>
          <w:szCs w:val="20"/>
          <w:lang w:val="es-PE"/>
        </w:rPr>
        <w:t>&lt;CANTIDAD&gt;</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sidR="0093002F">
        <w:rPr>
          <w:rFonts w:ascii="Arial" w:hAnsi="Arial" w:cs="Arial"/>
          <w:sz w:val="20"/>
          <w:szCs w:val="20"/>
          <w:lang w:val="es-PE"/>
        </w:rPr>
        <w:t>&lt;CARGO&gt;</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sidR="0093002F">
        <w:rPr>
          <w:rFonts w:ascii="Arial" w:hAnsi="Arial" w:cs="Arial"/>
          <w:sz w:val="20"/>
          <w:szCs w:val="20"/>
          <w:lang w:val="es-PE"/>
        </w:rPr>
        <w:t>&lt;DEPENDENCIA&gt;</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&lt;DEPENDENCIA&gt;</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sidRPr="00D22A07">
              <w:rPr>
                <w:rFonts w:ascii="Arial" w:hAnsi="Arial" w:cs="Arial"/>
                <w:sz w:val="20"/>
                <w:szCs w:val="20"/>
                <w:lang w:val="es-PE"/>
              </w:rPr>
              <w:t>&lt;EXP_GENERAL&gt;</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sidRPr="00D22A07">
              <w:rPr>
                <w:rFonts w:ascii="Arial" w:hAnsi="Arial" w:cs="Arial"/>
                <w:sz w:val="20"/>
                <w:szCs w:val="20"/>
                <w:lang w:val="es-PE"/>
              </w:rPr>
              <w:t>&lt;EXP_</w:t>
            </w:r>
            <w:r>
              <w:rPr>
                <w:rFonts w:ascii="Arial" w:hAnsi="Arial" w:cs="Arial"/>
                <w:sz w:val="20"/>
                <w:szCs w:val="20"/>
                <w:lang w:val="es-PE"/>
              </w:rPr>
              <w:t>ESPECIFICA</w:t>
            </w:r>
            <w:r w:rsidRPr="00D22A07">
              <w:rPr>
                <w:rFonts w:ascii="Arial" w:hAnsi="Arial" w:cs="Arial"/>
                <w:sz w:val="20"/>
                <w:szCs w:val="20"/>
                <w:lang w:val="es-PE"/>
              </w:rPr>
              <w:t>&gt;</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sidRPr="00D22A07">
              <w:rPr>
                <w:rFonts w:ascii="Arial" w:hAnsi="Arial" w:cs="Arial"/>
                <w:sz w:val="20"/>
                <w:szCs w:val="20"/>
                <w:lang w:val="es-PE"/>
              </w:rPr>
              <w:t>&lt;</w:t>
            </w:r>
            <w:r>
              <w:rPr>
                <w:rFonts w:ascii="Arial" w:hAnsi="Arial" w:cs="Arial"/>
                <w:sz w:val="20"/>
                <w:szCs w:val="20"/>
                <w:lang w:val="es-PE"/>
              </w:rPr>
              <w:t>HABILIDADES</w:t>
            </w:r>
            <w:r w:rsidRPr="00D22A07">
              <w:rPr>
                <w:rFonts w:ascii="Arial" w:hAnsi="Arial" w:cs="Arial"/>
                <w:sz w:val="20"/>
                <w:szCs w:val="20"/>
                <w:lang w:val="es-PE"/>
              </w:rPr>
              <w:t>&gt;</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sidRPr="00D22A07">
              <w:rPr>
                <w:rFonts w:ascii="Arial" w:hAnsi="Arial" w:cs="Arial"/>
                <w:sz w:val="20"/>
                <w:szCs w:val="20"/>
                <w:lang w:val="es-PE"/>
              </w:rPr>
              <w:t>&lt;</w:t>
            </w:r>
            <w:r>
              <w:rPr>
                <w:rFonts w:ascii="Arial" w:hAnsi="Arial" w:cs="Arial"/>
                <w:sz w:val="20"/>
                <w:szCs w:val="20"/>
                <w:lang w:val="es-PE"/>
              </w:rPr>
              <w:t>FORMACION</w:t>
            </w:r>
            <w:r w:rsidRPr="00D22A07">
              <w:rPr>
                <w:rFonts w:ascii="Arial" w:hAnsi="Arial" w:cs="Arial"/>
                <w:sz w:val="20"/>
                <w:szCs w:val="20"/>
                <w:lang w:val="es-PE"/>
              </w:rPr>
              <w:t>&gt;</w:t>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sidRPr="00D22A07">
              <w:rPr>
                <w:rFonts w:ascii="Arial" w:hAnsi="Arial" w:cs="Arial"/>
                <w:sz w:val="20"/>
                <w:szCs w:val="20"/>
                <w:lang w:val="es-PE"/>
              </w:rPr>
              <w:t>&lt;</w:t>
            </w:r>
            <w:r>
              <w:rPr>
                <w:rFonts w:ascii="Arial" w:hAnsi="Arial" w:cs="Arial"/>
                <w:sz w:val="20"/>
                <w:szCs w:val="20"/>
                <w:lang w:val="es-PE"/>
              </w:rPr>
              <w:t>CURSOS</w:t>
            </w:r>
            <w:r w:rsidRPr="00D22A07">
              <w:rPr>
                <w:rFonts w:ascii="Arial" w:hAnsi="Arial" w:cs="Arial"/>
                <w:sz w:val="20"/>
                <w:szCs w:val="20"/>
                <w:lang w:val="es-PE"/>
              </w:rPr>
              <w:t>&gt;</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r w:rsidRPr="00D22A07">
              <w:rPr>
                <w:rFonts w:ascii="Arial" w:hAnsi="Arial" w:cs="Arial"/>
                <w:sz w:val="20"/>
                <w:szCs w:val="20"/>
                <w:lang w:val="es-PE"/>
              </w:rPr>
              <w:t>&lt;</w:t>
            </w:r>
            <w:r>
              <w:rPr>
                <w:rFonts w:ascii="Arial" w:hAnsi="Arial" w:cs="Arial"/>
                <w:sz w:val="20"/>
                <w:szCs w:val="20"/>
                <w:lang w:val="es-PE"/>
              </w:rPr>
              <w:t>CONOC_TECNICOS</w:t>
            </w:r>
            <w:r w:rsidRPr="00D22A07">
              <w:rPr>
                <w:rFonts w:ascii="Arial" w:hAnsi="Arial" w:cs="Arial"/>
                <w:sz w:val="20"/>
                <w:szCs w:val="20"/>
                <w:lang w:val="es-PE"/>
              </w:rPr>
              <w:t>&gt;</w:t>
            </w: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sidRPr="00D22A07">
              <w:rPr>
                <w:rFonts w:ascii="Arial" w:hAnsi="Arial" w:cs="Arial"/>
                <w:sz w:val="20"/>
                <w:szCs w:val="20"/>
                <w:lang w:val="es-PE"/>
              </w:rPr>
              <w:t>&lt;</w:t>
            </w:r>
            <w:r>
              <w:rPr>
                <w:rFonts w:ascii="Arial" w:hAnsi="Arial" w:cs="Arial"/>
                <w:sz w:val="20"/>
                <w:szCs w:val="20"/>
                <w:lang w:val="es-PE"/>
              </w:rPr>
              <w:t>CONOC_OFIMATICA</w:t>
            </w:r>
            <w:r w:rsidRPr="00D22A07">
              <w:rPr>
                <w:rFonts w:ascii="Arial" w:hAnsi="Arial" w:cs="Arial"/>
                <w:sz w:val="20"/>
                <w:szCs w:val="20"/>
                <w:lang w:val="es-PE"/>
              </w:rPr>
              <w:t>&gt;</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&lt;FUNCIONES&gt;</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E6456A">
            <w:pPr>
              <w:rPr>
                <w:rFonts w:ascii="Arial" w:hAnsi="Arial" w:cs="Arial"/>
                <w:sz w:val="20"/>
                <w:szCs w:val="20"/>
                <w:highlight w:val="yellow"/>
                <w:lang w:val="es-PE"/>
              </w:rPr>
            </w:pPr>
            <w:r>
              <w:rPr>
                <w:rFonts w:ascii="Arial" w:hAnsi="Arial" w:cs="Arial"/>
                <w:sz w:val="20"/>
                <w:szCs w:val="20"/>
                <w:lang w:val="es-PE"/>
              </w:rPr>
              <w:t>El servicio será prestado en la</w:t>
            </w:r>
            <w:r w:rsidR="00371A2C">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&lt;DURACION&gt;</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sidRPr="0015166A">
              <w:rPr>
                <w:rFonts w:ascii="Arial" w:hAnsi="Arial" w:cs="Arial"/>
                <w:sz w:val="20"/>
                <w:szCs w:val="20"/>
                <w:lang w:val="es-PE"/>
              </w:rPr>
              <w:t>&lt;REMUNERACION&gt;</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E6456A" w:rsidRPr="00E6456A" w:rsidRDefault="00E6456A" w:rsidP="00E6456A">
            <w:pPr>
              <w:jc w:val="both"/>
              <w:rPr>
                <w:rFonts w:ascii="Arial" w:hAnsi="Arial" w:cs="Arial"/>
                <w:b/>
                <w:sz w:val="20"/>
                <w:szCs w:val="20"/>
                <w:highlight w:val="yellow"/>
                <w:lang w:val="es-PE"/>
              </w:rPr>
            </w:pPr>
            <w:r w:rsidRPr="00E6456A">
              <w:rPr>
                <w:rFonts w:ascii="Arial" w:hAnsi="Arial" w:cs="Arial"/>
                <w:b/>
                <w:sz w:val="20"/>
                <w:szCs w:val="20"/>
                <w:highlight w:val="yellow"/>
                <w:lang w:val="es-PE"/>
              </w:rPr>
              <w:t>Viajar al interior del país:</w:t>
            </w:r>
          </w:p>
          <w:p w:rsidR="00E6456A" w:rsidRPr="00E6456A" w:rsidRDefault="00E6456A" w:rsidP="00E6456A">
            <w:pPr>
              <w:jc w:val="both"/>
              <w:rPr>
                <w:rFonts w:ascii="Arial" w:hAnsi="Arial" w:cs="Arial"/>
                <w:sz w:val="20"/>
                <w:szCs w:val="20"/>
                <w:lang w:val="es-PE"/>
              </w:rPr>
            </w:pPr>
            <w:r w:rsidRPr="00E6456A">
              <w:rPr>
                <w:rFonts w:ascii="Arial" w:hAnsi="Arial" w:cs="Arial"/>
                <w:sz w:val="20"/>
                <w:szCs w:val="20"/>
                <w:highlight w:val="yellow"/>
                <w:lang w:val="es-PE"/>
              </w:rPr>
              <w:t>SI (x) o NO (x)</w:t>
            </w:r>
          </w:p>
          <w:p w:rsidR="00E6456A" w:rsidRDefault="00E6456A" w:rsidP="00603A18">
            <w:pPr>
              <w:jc w:val="both"/>
              <w:rPr>
                <w:rFonts w:ascii="Arial" w:hAnsi="Arial" w:cs="Arial"/>
                <w:b/>
                <w:sz w:val="20"/>
                <w:szCs w:val="20"/>
                <w:highlight w:val="yellow"/>
                <w:lang w:val="es-PE"/>
              </w:rPr>
            </w:pPr>
          </w:p>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sidRPr="00FF279D">
              <w:rPr>
                <w:rFonts w:ascii="Arial" w:hAnsi="Arial" w:cs="Arial"/>
                <w:sz w:val="20"/>
                <w:szCs w:val="20"/>
                <w:lang w:val="es-PE"/>
              </w:rPr>
              <w:t>&lt;FECHA_PUB_CAS&gt;</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E6456A">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E6456A" w:rsidRPr="00FF54E0">
                <w:rPr>
                  <w:rStyle w:val="Hipervnculo"/>
                  <w:rFonts w:ascii="Arial" w:hAnsi="Arial" w:cs="Arial"/>
                  <w:sz w:val="20"/>
                  <w:szCs w:val="20"/>
                  <w:lang w:val="es-PE"/>
                </w:rPr>
                <w:t>http://sdv.midis.gob.pe/SIS_Convocatoria</w:t>
              </w:r>
            </w:hyperlink>
          </w:p>
        </w:tc>
        <w:tc>
          <w:tcPr>
            <w:tcW w:w="1701" w:type="dxa"/>
            <w:vAlign w:val="center"/>
          </w:tcPr>
          <w:p w:rsidR="00D510C3"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&lt;FECHA_P</w:t>
            </w:r>
            <w:r>
              <w:rPr>
                <w:rFonts w:ascii="Arial" w:hAnsi="Arial" w:cs="Arial"/>
                <w:sz w:val="20"/>
                <w:szCs w:val="20"/>
                <w:lang w:val="es-PE"/>
              </w:rPr>
              <w:t>OS</w:t>
            </w:r>
            <w:r w:rsidRPr="00FF279D">
              <w:rPr>
                <w:rFonts w:ascii="Arial" w:hAnsi="Arial" w:cs="Arial"/>
                <w:sz w:val="20"/>
                <w:szCs w:val="20"/>
                <w:lang w:val="es-PE"/>
              </w:rPr>
              <w:t>_CAS&gt;</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w:t>
            </w:r>
            <w:r>
              <w:rPr>
                <w:rFonts w:ascii="Arial" w:hAnsi="Arial" w:cs="Arial"/>
                <w:sz w:val="20"/>
                <w:szCs w:val="20"/>
                <w:lang w:val="es-PE"/>
              </w:rPr>
              <w:t>EVAL</w:t>
            </w:r>
            <w:r w:rsidRPr="00FF279D">
              <w:rPr>
                <w:rFonts w:ascii="Arial" w:hAnsi="Arial" w:cs="Arial"/>
                <w:sz w:val="20"/>
                <w:szCs w:val="20"/>
                <w:lang w:val="es-PE"/>
              </w:rPr>
              <w:t>_C</w:t>
            </w:r>
            <w:r>
              <w:rPr>
                <w:rFonts w:ascii="Arial" w:hAnsi="Arial" w:cs="Arial"/>
                <w:sz w:val="20"/>
                <w:szCs w:val="20"/>
                <w:lang w:val="es-PE"/>
              </w:rPr>
              <w:t>UR</w:t>
            </w:r>
            <w:r w:rsidRPr="00FF279D">
              <w:rPr>
                <w:rFonts w:ascii="Arial" w:hAnsi="Arial" w:cs="Arial"/>
                <w:sz w:val="20"/>
                <w:szCs w:val="20"/>
                <w:lang w:val="es-PE"/>
              </w:rPr>
              <w:t>&gt;</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&lt;FECHA_PUB_C</w:t>
            </w:r>
            <w:r>
              <w:rPr>
                <w:rFonts w:ascii="Arial" w:hAnsi="Arial" w:cs="Arial"/>
                <w:sz w:val="20"/>
                <w:szCs w:val="20"/>
                <w:lang w:val="es-PE"/>
              </w:rPr>
              <w:t>UR</w:t>
            </w:r>
            <w:r w:rsidRPr="00FF279D">
              <w:rPr>
                <w:rFonts w:ascii="Arial" w:hAnsi="Arial" w:cs="Arial"/>
                <w:sz w:val="20"/>
                <w:szCs w:val="20"/>
                <w:lang w:val="es-PE"/>
              </w:rPr>
              <w:t>&gt;</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w:t>
            </w:r>
            <w:r>
              <w:rPr>
                <w:rFonts w:ascii="Arial" w:hAnsi="Arial" w:cs="Arial"/>
                <w:sz w:val="20"/>
                <w:szCs w:val="20"/>
                <w:lang w:val="es-PE"/>
              </w:rPr>
              <w:t>ENT</w:t>
            </w:r>
            <w:r w:rsidRPr="00FF279D">
              <w:rPr>
                <w:rFonts w:ascii="Arial" w:hAnsi="Arial" w:cs="Arial"/>
                <w:sz w:val="20"/>
                <w:szCs w:val="20"/>
                <w:lang w:val="es-PE"/>
              </w:rPr>
              <w:t>_CAS&gt;</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126AF0" w:rsidP="00350B5B">
            <w:pPr>
              <w:jc w:val="center"/>
              <w:rPr>
                <w:rFonts w:ascii="Arial" w:hAnsi="Arial" w:cs="Arial"/>
                <w:sz w:val="20"/>
                <w:szCs w:val="20"/>
                <w:highlight w:val="yellow"/>
                <w:lang w:val="es-PE"/>
              </w:rPr>
            </w:pPr>
            <w:r>
              <w:rPr>
                <w:rFonts w:ascii="Arial" w:hAnsi="Arial" w:cs="Arial"/>
                <w:sz w:val="20"/>
                <w:szCs w:val="20"/>
                <w:lang w:val="es-PE"/>
              </w:rPr>
              <w:t>&lt;FECHA_PUB_FIN</w:t>
            </w:r>
            <w:r w:rsidR="00FF279D" w:rsidRPr="00FF279D">
              <w:rPr>
                <w:rFonts w:ascii="Arial" w:hAnsi="Arial" w:cs="Arial"/>
                <w:sz w:val="20"/>
                <w:szCs w:val="20"/>
                <w:lang w:val="es-PE"/>
              </w:rPr>
              <w:t>&gt;</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sidRPr="00FF279D">
              <w:rPr>
                <w:rFonts w:ascii="Arial" w:hAnsi="Arial" w:cs="Arial"/>
                <w:sz w:val="20"/>
                <w:szCs w:val="20"/>
                <w:lang w:val="es-PE"/>
              </w:rPr>
              <w:t>&lt;FECHA_</w:t>
            </w:r>
            <w:r>
              <w:rPr>
                <w:rFonts w:ascii="Arial" w:hAnsi="Arial" w:cs="Arial"/>
                <w:sz w:val="20"/>
                <w:szCs w:val="20"/>
                <w:lang w:val="es-PE"/>
              </w:rPr>
              <w:t>CONT</w:t>
            </w:r>
            <w:r w:rsidRPr="00FF279D">
              <w:rPr>
                <w:rFonts w:ascii="Arial" w:hAnsi="Arial" w:cs="Arial"/>
                <w:sz w:val="20"/>
                <w:szCs w:val="20"/>
                <w:lang w:val="es-PE"/>
              </w:rPr>
              <w:t>&gt;</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lastRenderedPageBreak/>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w:t>
      </w:r>
      <w:r w:rsidRPr="008309EE">
        <w:rPr>
          <w:rFonts w:ascii="Arial" w:hAnsi="Arial" w:cs="Arial"/>
          <w:sz w:val="20"/>
          <w:szCs w:val="20"/>
        </w:rPr>
        <w:lastRenderedPageBreak/>
        <w:t xml:space="preserve">OCI para actuar de oficio. Cuando uno de los postulantes labore o preste servicios en el 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lastRenderedPageBreak/>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00E6456A" w:rsidRPr="00FF54E0">
          <w:rPr>
            <w:rStyle w:val="Hipervnculo"/>
            <w:rFonts w:ascii="Arial" w:hAnsi="Arial" w:cs="Arial"/>
            <w:sz w:val="20"/>
            <w:szCs w:val="20"/>
          </w:rPr>
          <w:t>http://sdv.midis.gob.pe/Sis_Convocatoria/Convocatoria/Lista</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00E6456A" w:rsidRPr="00FF54E0">
                                <w:rPr>
                                  <w:rStyle w:val="Hipervnculo"/>
                                  <w:rFonts w:ascii="Arial" w:hAnsi="Arial" w:cs="Arial"/>
                                  <w:i/>
                                  <w:sz w:val="20"/>
                                  <w:szCs w:val="22"/>
                                </w:rPr>
                                <w:t>http://sdv.midis.gob.pe/Sis_Convocatoria/Convocatoria/Lista</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00E6456A" w:rsidRPr="00FF54E0">
                          <w:rPr>
                            <w:rStyle w:val="Hipervnculo"/>
                            <w:rFonts w:ascii="Arial" w:hAnsi="Arial" w:cs="Arial"/>
                            <w:i/>
                            <w:sz w:val="20"/>
                            <w:szCs w:val="22"/>
                          </w:rPr>
                          <w:t>http://sdv.midis.gob.pe/Sis_Convocatoria/Convocatoria/Lista</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firmarlo y subirlo nuevamente 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Pr="009368FB">
        <w:rPr>
          <w:rFonts w:ascii="Arial" w:hAnsi="Arial" w:cs="Arial"/>
          <w:sz w:val="20"/>
          <w:szCs w:val="20"/>
        </w:rPr>
        <w:t xml:space="preserve">Asimismo, la fecha registrada en la Declaración Jurada deberá ser la del periodo actual, esto </w:t>
      </w:r>
      <w:r w:rsidRPr="009368FB">
        <w:rPr>
          <w:rFonts w:ascii="Arial" w:hAnsi="Arial" w:cs="Arial"/>
          <w:sz w:val="20"/>
          <w:szCs w:val="20"/>
        </w:rPr>
        <w:lastRenderedPageBreak/>
        <w:t>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La inscripción de postulantes y la presentación de documentación que sustente el cumplimiento del perfil de puesto de acuerdo a </w:t>
      </w:r>
      <w:proofErr w:type="spellStart"/>
      <w:r w:rsidRPr="00172C7F">
        <w:rPr>
          <w:rFonts w:ascii="Arial" w:hAnsi="Arial" w:cs="Arial"/>
          <w:sz w:val="20"/>
          <w:szCs w:val="20"/>
        </w:rPr>
        <w:t>Io</w:t>
      </w:r>
      <w:proofErr w:type="spellEnd"/>
      <w:r w:rsidRPr="00172C7F">
        <w:rPr>
          <w:rFonts w:ascii="Arial" w:hAnsi="Arial" w:cs="Arial"/>
          <w:sz w:val="20"/>
          <w:szCs w:val="20"/>
        </w:rPr>
        <w:t xml:space="preserve">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w:t>
      </w:r>
      <w:proofErr w:type="spellStart"/>
      <w:r w:rsidRPr="008F1CD0">
        <w:rPr>
          <w:rFonts w:ascii="Arial" w:hAnsi="Arial" w:cs="Arial"/>
          <w:sz w:val="20"/>
          <w:szCs w:val="20"/>
        </w:rPr>
        <w:t>sustentatorios</w:t>
      </w:r>
      <w:proofErr w:type="spellEnd"/>
      <w:r w:rsidRPr="008F1CD0">
        <w:rPr>
          <w:rFonts w:ascii="Arial" w:hAnsi="Arial" w:cs="Arial"/>
          <w:sz w:val="20"/>
          <w:szCs w:val="20"/>
        </w:rPr>
        <w:t xml:space="preserve">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lastRenderedPageBreak/>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EC77B9" w:rsidRDefault="00EC77B9" w:rsidP="0014223D">
      <w:pPr>
        <w:ind w:left="1416"/>
        <w:jc w:val="both"/>
        <w:rPr>
          <w:rFonts w:ascii="Arial" w:hAnsi="Arial" w:cs="Arial"/>
          <w:sz w:val="20"/>
          <w:szCs w:val="20"/>
        </w:rPr>
      </w:pPr>
    </w:p>
    <w:p w:rsidR="00EC77B9" w:rsidRPr="00EC77B9" w:rsidRDefault="00EC77B9" w:rsidP="00EC77B9">
      <w:pPr>
        <w:ind w:left="1416"/>
        <w:jc w:val="both"/>
        <w:rPr>
          <w:rFonts w:ascii="Arial" w:hAnsi="Arial" w:cs="Arial"/>
          <w:sz w:val="20"/>
          <w:szCs w:val="20"/>
        </w:rPr>
      </w:pPr>
      <w:r w:rsidRPr="00EC77B9">
        <w:rPr>
          <w:rFonts w:ascii="Arial" w:hAnsi="Arial" w:cs="Arial"/>
          <w:sz w:val="20"/>
          <w:szCs w:val="20"/>
        </w:rPr>
        <w:t>Por otro lado, si el puesto requiere colegiatura y habilitación, deberá presentar obligatoriamente lo siguiente:</w:t>
      </w:r>
    </w:p>
    <w:p w:rsidR="00EC77B9" w:rsidRPr="00EC77B9" w:rsidRDefault="00EC77B9" w:rsidP="00EC77B9">
      <w:pPr>
        <w:ind w:left="1416"/>
        <w:jc w:val="both"/>
        <w:rPr>
          <w:rFonts w:ascii="Arial" w:hAnsi="Arial" w:cs="Arial"/>
          <w:sz w:val="20"/>
          <w:szCs w:val="20"/>
        </w:rPr>
      </w:pPr>
    </w:p>
    <w:p w:rsidR="00EC77B9" w:rsidRPr="00EC77B9" w:rsidRDefault="00EC77B9" w:rsidP="00EC77B9">
      <w:pPr>
        <w:numPr>
          <w:ilvl w:val="0"/>
          <w:numId w:val="26"/>
        </w:numPr>
        <w:ind w:left="2132" w:hanging="357"/>
        <w:contextualSpacing/>
        <w:jc w:val="both"/>
        <w:rPr>
          <w:rFonts w:ascii="Arial" w:hAnsi="Arial" w:cs="Arial"/>
          <w:sz w:val="20"/>
          <w:szCs w:val="20"/>
          <w:lang w:val="es-PE" w:eastAsia="es-PE"/>
        </w:rPr>
      </w:pPr>
      <w:r w:rsidRPr="00EC77B9">
        <w:rPr>
          <w:rFonts w:ascii="Arial" w:hAnsi="Arial" w:cs="Arial"/>
          <w:sz w:val="20"/>
          <w:szCs w:val="20"/>
          <w:lang w:val="es-PE" w:eastAsia="es-PE"/>
        </w:rPr>
        <w:t xml:space="preserve">Para el caso de colegiatura, se acreditará con una copia simple de la constancia y/o diploma respectivo emitido por el Colegio Profesional. </w:t>
      </w:r>
    </w:p>
    <w:p w:rsidR="00EC77B9" w:rsidRPr="00EC77B9" w:rsidRDefault="00EC77B9" w:rsidP="00EC77B9">
      <w:pPr>
        <w:numPr>
          <w:ilvl w:val="0"/>
          <w:numId w:val="26"/>
        </w:numPr>
        <w:ind w:left="2132" w:hanging="357"/>
        <w:contextualSpacing/>
        <w:jc w:val="both"/>
        <w:rPr>
          <w:rFonts w:ascii="Arial" w:hAnsi="Arial" w:cs="Arial"/>
          <w:sz w:val="20"/>
          <w:szCs w:val="20"/>
          <w:lang w:val="es-PE" w:eastAsia="es-PE"/>
        </w:rPr>
      </w:pPr>
      <w:r w:rsidRPr="00EC77B9">
        <w:rPr>
          <w:rFonts w:ascii="Arial" w:hAnsi="Arial" w:cs="Arial"/>
          <w:sz w:val="20"/>
          <w:szCs w:val="20"/>
          <w:lang w:val="es-PE" w:eastAsia="es-PE"/>
        </w:rPr>
        <w:t xml:space="preserve">Para el caso de habilitación profesional, se acreditará con una copia simple de la constancia de habilitación emitida por el Colegio Profesional o una captura de pantalla de la página web donde se indique que se encuentra vigente a la fecha de inicio del presente proceso de selección. </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w:t>
      </w:r>
      <w:proofErr w:type="gramStart"/>
      <w:r w:rsidRPr="0014223D">
        <w:rPr>
          <w:rFonts w:ascii="Arial" w:hAnsi="Arial" w:cs="Arial"/>
          <w:sz w:val="20"/>
          <w:szCs w:val="20"/>
        </w:rPr>
        <w:t>,S</w:t>
      </w:r>
      <w:proofErr w:type="gramEnd"/>
      <w:r w:rsidRPr="0014223D">
        <w:rPr>
          <w:rFonts w:ascii="Arial" w:hAnsi="Arial" w:cs="Arial"/>
          <w:sz w:val="20"/>
          <w:szCs w:val="20"/>
        </w:rPr>
        <w:t xml:space="preserve">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w:t>
      </w:r>
      <w:proofErr w:type="spellStart"/>
      <w:r w:rsidRPr="0014223D">
        <w:rPr>
          <w:rFonts w:ascii="Arial" w:hAnsi="Arial" w:cs="Arial"/>
          <w:sz w:val="20"/>
          <w:szCs w:val="20"/>
        </w:rPr>
        <w:t>encargatura</w:t>
      </w:r>
      <w:proofErr w:type="spellEnd"/>
      <w:r w:rsidRPr="0014223D">
        <w:rPr>
          <w:rFonts w:ascii="Arial" w:hAnsi="Arial" w:cs="Arial"/>
          <w:sz w:val="20"/>
          <w:szCs w:val="20"/>
        </w:rPr>
        <w:t>.</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w:t>
      </w:r>
      <w:r w:rsidR="00F707DC">
        <w:rPr>
          <w:rFonts w:ascii="Arial" w:hAnsi="Arial" w:cs="Arial"/>
          <w:sz w:val="20"/>
          <w:szCs w:val="20"/>
        </w:rPr>
        <w:t>s</w:t>
      </w:r>
      <w:bookmarkStart w:id="0" w:name="_GoBack"/>
      <w:bookmarkEnd w:id="0"/>
      <w:r w:rsidRPr="0014223D">
        <w:rPr>
          <w:rFonts w:ascii="Arial" w:hAnsi="Arial" w:cs="Arial"/>
          <w:sz w:val="20"/>
          <w:szCs w:val="20"/>
        </w:rPr>
        <w:t>.</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lastRenderedPageBreak/>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8F4153"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w:t>
      </w:r>
      <w:r w:rsidR="00F407C5">
        <w:rPr>
          <w:rFonts w:ascii="Arial" w:hAnsi="Arial" w:cs="Arial"/>
          <w:sz w:val="20"/>
          <w:szCs w:val="20"/>
        </w:rPr>
        <w:t xml:space="preserve">y estará a cargo de los miembros </w:t>
      </w:r>
      <w:r w:rsidRPr="008726A6">
        <w:rPr>
          <w:rFonts w:ascii="Arial" w:hAnsi="Arial" w:cs="Arial"/>
          <w:sz w:val="20"/>
          <w:szCs w:val="20"/>
        </w:rPr>
        <w:t xml:space="preserve">del Comité de Selección. </w:t>
      </w:r>
      <w:r w:rsidR="00D4494F">
        <w:rPr>
          <w:rFonts w:ascii="Arial" w:hAnsi="Arial" w:cs="Arial"/>
          <w:sz w:val="20"/>
          <w:szCs w:val="20"/>
        </w:rPr>
        <w:t>En este sentido,</w:t>
      </w:r>
      <w:r w:rsidR="00F407C5">
        <w:rPr>
          <w:rFonts w:ascii="Arial" w:hAnsi="Arial" w:cs="Arial"/>
          <w:sz w:val="20"/>
          <w:szCs w:val="20"/>
        </w:rPr>
        <w:t xml:space="preserve"> se les remitirá por correo electrónico el procedimiento para rendir la entrevista, por lo que es </w:t>
      </w:r>
      <w:r w:rsidR="00F407C5" w:rsidRPr="00F407C5">
        <w:rPr>
          <w:rFonts w:ascii="Arial" w:hAnsi="Arial" w:cs="Arial"/>
          <w:b/>
          <w:sz w:val="20"/>
          <w:szCs w:val="20"/>
        </w:rPr>
        <w:t>responsabilidad del postulante</w:t>
      </w:r>
      <w:r w:rsidR="00F407C5">
        <w:rPr>
          <w:rFonts w:ascii="Arial" w:hAnsi="Arial" w:cs="Arial"/>
          <w:sz w:val="20"/>
          <w:szCs w:val="20"/>
        </w:rPr>
        <w:t xml:space="preserve"> revisar la bandeja de entrada y/o bandeja de correo</w:t>
      </w:r>
      <w:r w:rsidR="00D4494F">
        <w:rPr>
          <w:rFonts w:ascii="Arial" w:hAnsi="Arial" w:cs="Arial"/>
          <w:sz w:val="20"/>
          <w:szCs w:val="20"/>
        </w:rPr>
        <w:t xml:space="preserve"> </w:t>
      </w:r>
      <w:r w:rsidR="008F4153">
        <w:rPr>
          <w:rFonts w:ascii="Arial" w:hAnsi="Arial" w:cs="Arial"/>
          <w:sz w:val="20"/>
          <w:szCs w:val="20"/>
        </w:rPr>
        <w:t>no deseado del correo consignado en el Módulo de registro de postulación.</w:t>
      </w:r>
    </w:p>
    <w:p w:rsidR="008F4153" w:rsidRDefault="008F4153" w:rsidP="001C5DFC">
      <w:pPr>
        <w:ind w:left="1080"/>
        <w:jc w:val="both"/>
        <w:rPr>
          <w:rFonts w:ascii="Arial" w:hAnsi="Arial" w:cs="Arial"/>
          <w:sz w:val="20"/>
          <w:szCs w:val="20"/>
        </w:rPr>
      </w:pPr>
    </w:p>
    <w:p w:rsidR="001C5DFC" w:rsidRPr="008726A6" w:rsidRDefault="008F4153" w:rsidP="001C5DFC">
      <w:pPr>
        <w:ind w:left="1080"/>
        <w:jc w:val="both"/>
        <w:rPr>
          <w:rFonts w:ascii="Arial" w:hAnsi="Arial" w:cs="Arial"/>
          <w:sz w:val="20"/>
          <w:szCs w:val="20"/>
        </w:rPr>
      </w:pPr>
      <w:r>
        <w:rPr>
          <w:rFonts w:ascii="Arial" w:hAnsi="Arial" w:cs="Arial"/>
          <w:sz w:val="20"/>
          <w:szCs w:val="20"/>
        </w:rPr>
        <w:lastRenderedPageBreak/>
        <w:t xml:space="preserve">Asimismo, </w:t>
      </w:r>
      <w:r w:rsidR="00D4494F">
        <w:rPr>
          <w:rFonts w:ascii="Arial" w:hAnsi="Arial" w:cs="Arial"/>
          <w:sz w:val="20"/>
          <w:szCs w:val="20"/>
        </w:rPr>
        <w:t xml:space="preserve">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r>
        <w:rPr>
          <w:rFonts w:ascii="Arial" w:hAnsi="Arial" w:cs="Arial"/>
          <w:sz w:val="20"/>
          <w:szCs w:val="20"/>
        </w:rPr>
        <w:t xml:space="preserve"> a fin de validar su identidad</w:t>
      </w:r>
      <w:r w:rsidR="00D4494F">
        <w:rPr>
          <w:rFonts w:ascii="Arial" w:hAnsi="Arial" w:cs="Arial"/>
          <w:sz w:val="20"/>
          <w:szCs w:val="20"/>
        </w:rPr>
        <w:t>.</w:t>
      </w:r>
      <w:r>
        <w:rPr>
          <w:rFonts w:ascii="Arial" w:hAnsi="Arial" w:cs="Arial"/>
          <w:sz w:val="20"/>
          <w:szCs w:val="20"/>
        </w:rPr>
        <w:t xml:space="preserve"> En este sentido, t</w:t>
      </w:r>
      <w:r w:rsidRPr="00C600DF">
        <w:rPr>
          <w:rFonts w:ascii="Arial" w:hAnsi="Arial" w:cs="Arial"/>
          <w:sz w:val="20"/>
          <w:szCs w:val="20"/>
        </w:rPr>
        <w:t xml:space="preserve">ratándose de entrevistas virtuales, el candidato que durante la entrevista se retire de la misma, después de escuchar la pregunta, será </w:t>
      </w:r>
      <w:r w:rsidRPr="00C600DF">
        <w:rPr>
          <w:rFonts w:ascii="Arial" w:hAnsi="Arial" w:cs="Arial"/>
          <w:b/>
          <w:sz w:val="20"/>
          <w:szCs w:val="20"/>
        </w:rPr>
        <w:t>DESCALIFICADO/A</w:t>
      </w:r>
      <w:r>
        <w:rPr>
          <w:rFonts w:ascii="Arial" w:hAnsi="Arial" w:cs="Arial"/>
          <w:b/>
          <w:sz w:val="20"/>
          <w:szCs w:val="20"/>
        </w:rPr>
        <w:t xml:space="preserve"> </w:t>
      </w:r>
      <w:r w:rsidRPr="00C600DF">
        <w:rPr>
          <w:rFonts w:ascii="Arial" w:hAnsi="Arial" w:cs="Arial"/>
          <w:sz w:val="20"/>
          <w:szCs w:val="20"/>
        </w:rPr>
        <w:t>automáticamente.</w:t>
      </w:r>
      <w:r>
        <w:rPr>
          <w:rFonts w:ascii="Arial" w:hAnsi="Arial" w:cs="Arial"/>
          <w:sz w:val="20"/>
          <w:szCs w:val="20"/>
        </w:rPr>
        <w:t xml:space="preserve"> Por lo que </w:t>
      </w:r>
      <w:r w:rsidRPr="00C600DF">
        <w:rPr>
          <w:rFonts w:ascii="Arial" w:hAnsi="Arial" w:cs="Arial"/>
          <w:sz w:val="20"/>
          <w:szCs w:val="20"/>
        </w:rPr>
        <w:t>deberá verificar que la conexión de internet esté en óptimas condiciones</w:t>
      </w:r>
      <w:r>
        <w:rPr>
          <w:rFonts w:ascii="Arial" w:hAnsi="Arial" w:cs="Arial"/>
          <w:sz w:val="20"/>
          <w:szCs w:val="20"/>
        </w:rPr>
        <w:t>,</w:t>
      </w:r>
      <w:r w:rsidRPr="00C600DF">
        <w:rPr>
          <w:rFonts w:ascii="Arial" w:hAnsi="Arial" w:cs="Arial"/>
          <w:sz w:val="20"/>
          <w:szCs w:val="20"/>
        </w:rPr>
        <w:t xml:space="preserve"> ya que si existe algún contratiempo será </w:t>
      </w:r>
      <w:r w:rsidRPr="000A1857">
        <w:rPr>
          <w:rFonts w:ascii="Arial" w:hAnsi="Arial" w:cs="Arial"/>
          <w:b/>
          <w:sz w:val="20"/>
          <w:szCs w:val="20"/>
        </w:rPr>
        <w:t>entera responsabilidad del postulante</w:t>
      </w:r>
      <w:r>
        <w:rPr>
          <w:rFonts w:ascii="Arial" w:hAnsi="Arial" w:cs="Arial"/>
          <w:b/>
          <w:sz w:val="20"/>
          <w:szCs w:val="20"/>
        </w:rPr>
        <w:t>.</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r w:rsidR="008F4153">
        <w:rPr>
          <w:rFonts w:ascii="Arial" w:hAnsi="Arial" w:cs="Arial"/>
          <w:sz w:val="20"/>
          <w:szCs w:val="20"/>
        </w:rPr>
        <w:t xml:space="preserve"> </w:t>
      </w:r>
      <w:r w:rsidRPr="00E17B2D">
        <w:rPr>
          <w:rFonts w:ascii="Arial" w:hAnsi="Arial" w:cs="Arial"/>
          <w:sz w:val="20"/>
          <w:szCs w:val="20"/>
        </w:rPr>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1C5DFC" w:rsidRPr="001C5DFC" w:rsidRDefault="001C5DFC" w:rsidP="008F4153">
      <w:pPr>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8F4153" w:rsidRDefault="008F4153" w:rsidP="001C5DFC">
      <w:pPr>
        <w:ind w:left="1080"/>
        <w:jc w:val="both"/>
        <w:rPr>
          <w:rFonts w:ascii="Arial" w:hAnsi="Arial" w:cs="Arial"/>
          <w:sz w:val="20"/>
          <w:szCs w:val="20"/>
        </w:rPr>
      </w:pPr>
    </w:p>
    <w:p w:rsidR="008F4153" w:rsidRDefault="008F4153" w:rsidP="001C5DFC">
      <w:pPr>
        <w:ind w:left="1080"/>
        <w:jc w:val="both"/>
        <w:rPr>
          <w:rFonts w:ascii="Arial" w:hAnsi="Arial" w:cs="Arial"/>
          <w:sz w:val="20"/>
          <w:szCs w:val="20"/>
        </w:rPr>
      </w:pPr>
      <w:r w:rsidRPr="00C600DF">
        <w:rPr>
          <w:rFonts w:ascii="Arial" w:hAnsi="Arial" w:cs="Arial"/>
          <w:sz w:val="20"/>
          <w:szCs w:val="20"/>
        </w:rPr>
        <w:t>Finalmente, se precisa que la e</w:t>
      </w:r>
      <w:r>
        <w:rPr>
          <w:rFonts w:ascii="Arial" w:hAnsi="Arial" w:cs="Arial"/>
          <w:sz w:val="20"/>
          <w:szCs w:val="20"/>
        </w:rPr>
        <w:t>ntrevista</w:t>
      </w:r>
      <w:r w:rsidRPr="00C600DF">
        <w:rPr>
          <w:rFonts w:ascii="Arial" w:hAnsi="Arial" w:cs="Arial"/>
          <w:sz w:val="20"/>
          <w:szCs w:val="20"/>
        </w:rPr>
        <w:t xml:space="preserve"> solo podrá ser realizada en la fecha y hora indicada en el comunicado correspondiente, es decir, solo se permitirá el ingreso a la sala de Zoom en la hora señalada, no habrá tolerancia, por lo que si no se encuentra a la hora exacta programada para la evaluación en la sala de espera, será automáticamente </w:t>
      </w:r>
      <w:r w:rsidRPr="00C600DF">
        <w:rPr>
          <w:rFonts w:ascii="Arial" w:hAnsi="Arial" w:cs="Arial"/>
          <w:b/>
          <w:sz w:val="20"/>
          <w:szCs w:val="20"/>
        </w:rPr>
        <w:t>DESCALIFICADO/A</w:t>
      </w:r>
      <w:r>
        <w:rPr>
          <w:rFonts w:ascii="Arial" w:hAnsi="Arial" w:cs="Arial"/>
          <w:b/>
          <w:sz w:val="20"/>
          <w:szCs w:val="20"/>
        </w:rPr>
        <w:t>.</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lastRenderedPageBreak/>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lastRenderedPageBreak/>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fedatario institucional del MIDIS) de los documentos originales que adjuntó a su Hoja de Vida al momento de su inscripción al proceso de selección del cual resultó ganador/a, excepcionalmente, por razones justificadas, se reemplazaran las 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&lt;P</w:t>
      </w:r>
      <w:r w:rsidR="00526D52">
        <w:rPr>
          <w:rFonts w:ascii="Arial" w:hAnsi="Arial" w:cs="Arial"/>
          <w:sz w:val="20"/>
          <w:szCs w:val="20"/>
        </w:rPr>
        <w:t>ROCESO_CAS&gt;.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00371A2C">
        <w:rPr>
          <w:rFonts w:ascii="Arial" w:hAnsi="Arial" w:cs="Arial"/>
          <w:sz w:val="20"/>
          <w:szCs w:val="20"/>
          <w:highlight w:val="yellow"/>
        </w:rPr>
        <w:t>XXXXXXXXXXXXXXXX 2021</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35C" w:rsidRDefault="00D7435C" w:rsidP="00E13DBA">
      <w:r>
        <w:separator/>
      </w:r>
    </w:p>
  </w:endnote>
  <w:endnote w:type="continuationSeparator" w:id="0">
    <w:p w:rsidR="00D7435C" w:rsidRDefault="00D7435C"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F707DC">
      <w:rPr>
        <w:rFonts w:ascii="Calibri" w:hAnsi="Calibri" w:cs="Calibri"/>
        <w:b/>
        <w:bCs/>
        <w:noProof/>
        <w:sz w:val="18"/>
        <w:szCs w:val="18"/>
      </w:rPr>
      <w:t>14</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F707DC">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 w:rsidR="005D5FED" w:rsidRDefault="005D5FE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35C" w:rsidRDefault="00D7435C" w:rsidP="00E13DBA">
      <w:r>
        <w:separator/>
      </w:r>
    </w:p>
  </w:footnote>
  <w:footnote w:type="continuationSeparator" w:id="0">
    <w:p w:rsidR="00D7435C" w:rsidRDefault="00D7435C"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8F553A2"/>
    <w:multiLevelType w:val="hybridMultilevel"/>
    <w:tmpl w:val="641E364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8"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9"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1"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2"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20"/>
  </w:num>
  <w:num w:numId="2">
    <w:abstractNumId w:val="14"/>
  </w:num>
  <w:num w:numId="3">
    <w:abstractNumId w:val="8"/>
  </w:num>
  <w:num w:numId="4">
    <w:abstractNumId w:val="5"/>
  </w:num>
  <w:num w:numId="5">
    <w:abstractNumId w:val="6"/>
  </w:num>
  <w:num w:numId="6">
    <w:abstractNumId w:val="16"/>
  </w:num>
  <w:num w:numId="7">
    <w:abstractNumId w:val="18"/>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2"/>
  </w:num>
  <w:num w:numId="15">
    <w:abstractNumId w:val="13"/>
  </w:num>
  <w:num w:numId="16">
    <w:abstractNumId w:val="21"/>
  </w:num>
  <w:num w:numId="17">
    <w:abstractNumId w:val="0"/>
  </w:num>
  <w:num w:numId="18">
    <w:abstractNumId w:val="9"/>
  </w:num>
  <w:num w:numId="19">
    <w:abstractNumId w:val="2"/>
  </w:num>
  <w:num w:numId="20">
    <w:abstractNumId w:val="19"/>
  </w:num>
  <w:num w:numId="21">
    <w:abstractNumId w:val="19"/>
    <w:lvlOverride w:ilvl="0">
      <w:startOverride w:val="1"/>
    </w:lvlOverride>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1"/>
  </w:num>
  <w:num w:numId="2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26AF0"/>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1A2C"/>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1E94"/>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1B1F"/>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8F4153"/>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A7D55"/>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435C"/>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3430A"/>
    <w:rsid w:val="00E41694"/>
    <w:rsid w:val="00E46333"/>
    <w:rsid w:val="00E519DA"/>
    <w:rsid w:val="00E6456A"/>
    <w:rsid w:val="00E77D5B"/>
    <w:rsid w:val="00E80A2A"/>
    <w:rsid w:val="00E81026"/>
    <w:rsid w:val="00E87484"/>
    <w:rsid w:val="00E96E15"/>
    <w:rsid w:val="00EA1074"/>
    <w:rsid w:val="00EA6C50"/>
    <w:rsid w:val="00EB687D"/>
    <w:rsid w:val="00EB7BA7"/>
    <w:rsid w:val="00EC3DD9"/>
    <w:rsid w:val="00EC77B9"/>
    <w:rsid w:val="00ED2C75"/>
    <w:rsid w:val="00EE720F"/>
    <w:rsid w:val="00EF2A51"/>
    <w:rsid w:val="00F03C53"/>
    <w:rsid w:val="00F22AA7"/>
    <w:rsid w:val="00F255AD"/>
    <w:rsid w:val="00F3106D"/>
    <w:rsid w:val="00F362DF"/>
    <w:rsid w:val="00F362EA"/>
    <w:rsid w:val="00F407C5"/>
    <w:rsid w:val="00F40B3A"/>
    <w:rsid w:val="00F5769A"/>
    <w:rsid w:val="00F707DC"/>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Convocatoria"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Convocatoria/Convocatoria/Lis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Convocatoria/Convocatoria/Lista"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Convocatoria/Convocatoria/Lis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3F7DB-53E9-4824-BF7E-24C6286A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14</Pages>
  <Words>6183</Words>
  <Characters>34009</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32</cp:revision>
  <cp:lastPrinted>2020-09-09T01:08:00Z</cp:lastPrinted>
  <dcterms:created xsi:type="dcterms:W3CDTF">2020-09-22T18:53:00Z</dcterms:created>
  <dcterms:modified xsi:type="dcterms:W3CDTF">2021-02-05T04:08:00Z</dcterms:modified>
</cp:coreProperties>
</file>