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97A" w:rsidRPr="00977ABA" w:rsidRDefault="00977ABA" w:rsidP="00977ABA">
      <w:pPr>
        <w:jc w:val="center"/>
        <w:rPr>
          <w:rFonts w:ascii="Times New Roman" w:hAnsi="Times New Roman" w:cs="Times New Roman"/>
          <w:sz w:val="44"/>
          <w:szCs w:val="44"/>
        </w:rPr>
      </w:pPr>
      <w:bookmarkStart w:id="0" w:name="_GoBack"/>
      <w:bookmarkEnd w:id="0"/>
      <w:proofErr w:type="spellStart"/>
      <w:r w:rsidRPr="00977ABA">
        <w:rPr>
          <w:rFonts w:ascii="Times New Roman" w:hAnsi="Times New Roman" w:cs="Times New Roman"/>
          <w:sz w:val="44"/>
          <w:szCs w:val="44"/>
        </w:rPr>
        <w:t>Fantasybooks</w:t>
      </w:r>
      <w:proofErr w:type="spellEnd"/>
      <w:r w:rsidRPr="00977ABA">
        <w:rPr>
          <w:rFonts w:ascii="Times New Roman" w:hAnsi="Times New Roman" w:cs="Times New Roman"/>
          <w:sz w:val="44"/>
          <w:szCs w:val="44"/>
        </w:rPr>
        <w:t xml:space="preserve"> styleguide</w:t>
      </w:r>
    </w:p>
    <w:p w:rsidR="00977ABA" w:rsidRDefault="00977ABA"/>
    <w:p w:rsidR="00977ABA" w:rsidRPr="00977ABA" w:rsidRDefault="00977ABA">
      <w:pPr>
        <w:rPr>
          <w:rFonts w:ascii="Times New Roman" w:hAnsi="Times New Roman" w:cs="Times New Roman"/>
        </w:rPr>
      </w:pPr>
      <w:r w:rsidRPr="00977ABA">
        <w:rPr>
          <w:rFonts w:ascii="Times New Roman" w:hAnsi="Times New Roman" w:cs="Times New Roman"/>
        </w:rPr>
        <w:t>Farveskema</w:t>
      </w:r>
    </w:p>
    <w:tbl>
      <w:tblPr>
        <w:tblStyle w:val="Tabel-Gitter"/>
        <w:tblW w:w="0" w:type="auto"/>
        <w:jc w:val="center"/>
        <w:tblLook w:val="04A0" w:firstRow="1" w:lastRow="0" w:firstColumn="1" w:lastColumn="0" w:noHBand="0" w:noVBand="1"/>
      </w:tblPr>
      <w:tblGrid>
        <w:gridCol w:w="1154"/>
        <w:gridCol w:w="3056"/>
        <w:gridCol w:w="1690"/>
        <w:gridCol w:w="1419"/>
      </w:tblGrid>
      <w:tr w:rsidR="00465528" w:rsidTr="00465528">
        <w:trPr>
          <w:jc w:val="center"/>
        </w:trPr>
        <w:tc>
          <w:tcPr>
            <w:tcW w:w="1154" w:type="dxa"/>
          </w:tcPr>
          <w:p w:rsidR="00465528" w:rsidRDefault="00465528" w:rsidP="00977ABA">
            <w:pPr>
              <w:jc w:val="center"/>
            </w:pPr>
          </w:p>
        </w:tc>
        <w:tc>
          <w:tcPr>
            <w:tcW w:w="3056" w:type="dxa"/>
          </w:tcPr>
          <w:p w:rsidR="00465528" w:rsidRDefault="00465528" w:rsidP="00977ABA">
            <w:pPr>
              <w:jc w:val="center"/>
            </w:pPr>
            <w:r>
              <w:t>Farve</w:t>
            </w:r>
          </w:p>
        </w:tc>
        <w:tc>
          <w:tcPr>
            <w:tcW w:w="1690" w:type="dxa"/>
          </w:tcPr>
          <w:p w:rsidR="00465528" w:rsidRDefault="00465528" w:rsidP="00977ABA">
            <w:pPr>
              <w:jc w:val="center"/>
            </w:pPr>
            <w:proofErr w:type="spellStart"/>
            <w:r>
              <w:t>hex</w:t>
            </w:r>
            <w:proofErr w:type="spellEnd"/>
          </w:p>
        </w:tc>
        <w:tc>
          <w:tcPr>
            <w:tcW w:w="1419" w:type="dxa"/>
          </w:tcPr>
          <w:p w:rsidR="00465528" w:rsidRDefault="00465528" w:rsidP="00A61AEB">
            <w:pPr>
              <w:jc w:val="center"/>
            </w:pPr>
            <w:proofErr w:type="spellStart"/>
            <w:r>
              <w:t>hsl</w:t>
            </w:r>
            <w:proofErr w:type="spellEnd"/>
          </w:p>
        </w:tc>
      </w:tr>
      <w:tr w:rsidR="00465528" w:rsidTr="00465528">
        <w:trPr>
          <w:jc w:val="center"/>
        </w:trPr>
        <w:tc>
          <w:tcPr>
            <w:tcW w:w="1154" w:type="dxa"/>
          </w:tcPr>
          <w:p w:rsidR="00465528" w:rsidRPr="00BD099E" w:rsidRDefault="002559F8" w:rsidP="00977ABA">
            <w:pPr>
              <w:jc w:val="center"/>
            </w:pPr>
            <w:r>
              <w:t>1</w:t>
            </w:r>
          </w:p>
        </w:tc>
        <w:tc>
          <w:tcPr>
            <w:tcW w:w="3056" w:type="dxa"/>
          </w:tcPr>
          <w:p w:rsidR="00465528" w:rsidRDefault="00465528" w:rsidP="00977ABA">
            <w:pPr>
              <w:jc w:val="center"/>
            </w:pPr>
            <w:r w:rsidRPr="00BD099E">
              <w:rPr>
                <w:noProof/>
              </w:rPr>
              <w:drawing>
                <wp:inline distT="0" distB="0" distL="0" distR="0" wp14:anchorId="3965088A" wp14:editId="74056135">
                  <wp:extent cx="1615803" cy="1278890"/>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6096" cy="1294951"/>
                          </a:xfrm>
                          <a:prstGeom prst="rect">
                            <a:avLst/>
                          </a:prstGeom>
                        </pic:spPr>
                      </pic:pic>
                    </a:graphicData>
                  </a:graphic>
                </wp:inline>
              </w:drawing>
            </w:r>
          </w:p>
        </w:tc>
        <w:tc>
          <w:tcPr>
            <w:tcW w:w="1690" w:type="dxa"/>
          </w:tcPr>
          <w:p w:rsidR="00465528" w:rsidRDefault="00465528">
            <w:r>
              <w:t>#</w:t>
            </w:r>
            <w:r w:rsidRPr="00BD099E">
              <w:t xml:space="preserve"> f8f0ec</w:t>
            </w:r>
          </w:p>
        </w:tc>
        <w:tc>
          <w:tcPr>
            <w:tcW w:w="1419" w:type="dxa"/>
          </w:tcPr>
          <w:p w:rsidR="00465528" w:rsidRDefault="00465528" w:rsidP="00A61AEB">
            <w:pPr>
              <w:jc w:val="center"/>
            </w:pPr>
            <w:r>
              <w:t>20, 46, 95</w:t>
            </w:r>
          </w:p>
        </w:tc>
      </w:tr>
      <w:tr w:rsidR="00465528" w:rsidTr="00465528">
        <w:trPr>
          <w:jc w:val="center"/>
        </w:trPr>
        <w:tc>
          <w:tcPr>
            <w:tcW w:w="1154" w:type="dxa"/>
          </w:tcPr>
          <w:p w:rsidR="00465528" w:rsidRPr="00465528" w:rsidRDefault="002559F8" w:rsidP="00977ABA">
            <w:pPr>
              <w:jc w:val="center"/>
            </w:pPr>
            <w:r>
              <w:t>2</w:t>
            </w:r>
          </w:p>
        </w:tc>
        <w:tc>
          <w:tcPr>
            <w:tcW w:w="3056" w:type="dxa"/>
          </w:tcPr>
          <w:p w:rsidR="00465528" w:rsidRDefault="00465528" w:rsidP="00977ABA">
            <w:pPr>
              <w:jc w:val="center"/>
            </w:pPr>
            <w:r w:rsidRPr="00465528">
              <w:rPr>
                <w:noProof/>
              </w:rPr>
              <w:drawing>
                <wp:inline distT="0" distB="0" distL="0" distR="0" wp14:anchorId="46471B64" wp14:editId="30F2962F">
                  <wp:extent cx="1600339" cy="14479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339" cy="1447925"/>
                          </a:xfrm>
                          <a:prstGeom prst="rect">
                            <a:avLst/>
                          </a:prstGeom>
                        </pic:spPr>
                      </pic:pic>
                    </a:graphicData>
                  </a:graphic>
                </wp:inline>
              </w:drawing>
            </w:r>
          </w:p>
        </w:tc>
        <w:tc>
          <w:tcPr>
            <w:tcW w:w="1690" w:type="dxa"/>
          </w:tcPr>
          <w:p w:rsidR="00465528" w:rsidRDefault="00465528">
            <w:r>
              <w:t>#</w:t>
            </w:r>
            <w:r w:rsidRPr="00494428">
              <w:t>1e0b0b</w:t>
            </w:r>
          </w:p>
        </w:tc>
        <w:tc>
          <w:tcPr>
            <w:tcW w:w="1419" w:type="dxa"/>
          </w:tcPr>
          <w:p w:rsidR="00465528" w:rsidRDefault="00465528" w:rsidP="00A61AEB">
            <w:pPr>
              <w:jc w:val="center"/>
            </w:pPr>
            <w:r>
              <w:t>0, 46, 8</w:t>
            </w:r>
          </w:p>
        </w:tc>
      </w:tr>
      <w:tr w:rsidR="00465528" w:rsidTr="00465528">
        <w:trPr>
          <w:jc w:val="center"/>
        </w:trPr>
        <w:tc>
          <w:tcPr>
            <w:tcW w:w="1154" w:type="dxa"/>
          </w:tcPr>
          <w:p w:rsidR="00465528" w:rsidRPr="00465528" w:rsidRDefault="002559F8" w:rsidP="00977ABA">
            <w:pPr>
              <w:jc w:val="center"/>
            </w:pPr>
            <w:r>
              <w:t>3</w:t>
            </w:r>
          </w:p>
        </w:tc>
        <w:tc>
          <w:tcPr>
            <w:tcW w:w="3056" w:type="dxa"/>
          </w:tcPr>
          <w:p w:rsidR="00465528" w:rsidRDefault="00465528" w:rsidP="00977ABA">
            <w:pPr>
              <w:jc w:val="center"/>
            </w:pPr>
            <w:r w:rsidRPr="00465528">
              <w:rPr>
                <w:noProof/>
              </w:rPr>
              <w:drawing>
                <wp:inline distT="0" distB="0" distL="0" distR="0" wp14:anchorId="65784E28" wp14:editId="535B4081">
                  <wp:extent cx="1581150" cy="1352299"/>
                  <wp:effectExtent l="0" t="0" r="0" b="63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5421" cy="1355952"/>
                          </a:xfrm>
                          <a:prstGeom prst="rect">
                            <a:avLst/>
                          </a:prstGeom>
                        </pic:spPr>
                      </pic:pic>
                    </a:graphicData>
                  </a:graphic>
                </wp:inline>
              </w:drawing>
            </w:r>
          </w:p>
        </w:tc>
        <w:tc>
          <w:tcPr>
            <w:tcW w:w="1690" w:type="dxa"/>
          </w:tcPr>
          <w:p w:rsidR="00465528" w:rsidRDefault="00465528">
            <w:r>
              <w:t>#</w:t>
            </w:r>
            <w:r w:rsidRPr="00BD099E">
              <w:t>246558</w:t>
            </w:r>
          </w:p>
        </w:tc>
        <w:tc>
          <w:tcPr>
            <w:tcW w:w="1419" w:type="dxa"/>
          </w:tcPr>
          <w:p w:rsidR="00465528" w:rsidRDefault="00465528" w:rsidP="00A61AEB">
            <w:pPr>
              <w:jc w:val="center"/>
            </w:pPr>
            <w:r>
              <w:t>168, 47, 27</w:t>
            </w:r>
          </w:p>
        </w:tc>
      </w:tr>
    </w:tbl>
    <w:p w:rsidR="00977ABA" w:rsidRPr="007E6BCA" w:rsidRDefault="00977ABA">
      <w:pPr>
        <w:rPr>
          <w:rFonts w:ascii="Times New Roman" w:hAnsi="Times New Roman" w:cs="Times New Roman"/>
        </w:rPr>
      </w:pPr>
    </w:p>
    <w:p w:rsidR="00977ABA" w:rsidRPr="007E6BCA" w:rsidRDefault="00977ABA">
      <w:pPr>
        <w:rPr>
          <w:rFonts w:ascii="Times New Roman" w:hAnsi="Times New Roman" w:cs="Times New Roman"/>
        </w:rPr>
      </w:pPr>
      <w:r w:rsidRPr="007E6BCA">
        <w:rPr>
          <w:rFonts w:ascii="Times New Roman" w:hAnsi="Times New Roman" w:cs="Times New Roman"/>
        </w:rPr>
        <w:t>Farvevalget har taget udgangspunkt i ønsket om at holde farver i varme og jordnære farver, der giver associationer til træmøbler og læderindbundne bøger.</w:t>
      </w:r>
    </w:p>
    <w:p w:rsidR="00465528" w:rsidRDefault="00465528">
      <w:pPr>
        <w:rPr>
          <w:rFonts w:ascii="Times New Roman" w:hAnsi="Times New Roman" w:cs="Times New Roman"/>
        </w:rPr>
      </w:pPr>
      <w:r w:rsidRPr="007E6BCA">
        <w:rPr>
          <w:rFonts w:ascii="Times New Roman" w:hAnsi="Times New Roman" w:cs="Times New Roman"/>
        </w:rPr>
        <w:t xml:space="preserve"> Farve </w:t>
      </w:r>
      <w:r w:rsidR="002559F8">
        <w:rPr>
          <w:rFonts w:ascii="Times New Roman" w:hAnsi="Times New Roman" w:cs="Times New Roman"/>
        </w:rPr>
        <w:t>1</w:t>
      </w:r>
      <w:r w:rsidRPr="007E6BCA">
        <w:rPr>
          <w:rFonts w:ascii="Times New Roman" w:hAnsi="Times New Roman" w:cs="Times New Roman"/>
        </w:rPr>
        <w:t xml:space="preserve"> bruges som baggrundsfarve på siden</w:t>
      </w:r>
      <w:r w:rsidR="00583452">
        <w:rPr>
          <w:rFonts w:ascii="Times New Roman" w:hAnsi="Times New Roman" w:cs="Times New Roman"/>
        </w:rPr>
        <w:t xml:space="preserve"> og som skriftfarve på menuen og </w:t>
      </w:r>
      <w:proofErr w:type="spellStart"/>
      <w:r w:rsidR="00583452">
        <w:rPr>
          <w:rFonts w:ascii="Times New Roman" w:hAnsi="Times New Roman" w:cs="Times New Roman"/>
        </w:rPr>
        <w:t>footeren</w:t>
      </w:r>
      <w:proofErr w:type="spellEnd"/>
      <w:r w:rsidRPr="007E6BCA">
        <w:rPr>
          <w:rFonts w:ascii="Times New Roman" w:hAnsi="Times New Roman" w:cs="Times New Roman"/>
        </w:rPr>
        <w:t xml:space="preserve">. Farve </w:t>
      </w:r>
      <w:r w:rsidR="002559F8">
        <w:rPr>
          <w:rFonts w:ascii="Times New Roman" w:hAnsi="Times New Roman" w:cs="Times New Roman"/>
        </w:rPr>
        <w:t>2</w:t>
      </w:r>
      <w:r w:rsidRPr="007E6BCA">
        <w:rPr>
          <w:rFonts w:ascii="Times New Roman" w:hAnsi="Times New Roman" w:cs="Times New Roman"/>
        </w:rPr>
        <w:t xml:space="preserve"> bruges som skriftfarve</w:t>
      </w:r>
      <w:r w:rsidR="00583452">
        <w:rPr>
          <w:rFonts w:ascii="Times New Roman" w:hAnsi="Times New Roman" w:cs="Times New Roman"/>
        </w:rPr>
        <w:t xml:space="preserve"> på indholdet og baggrundsfarve på menuen og </w:t>
      </w:r>
      <w:proofErr w:type="spellStart"/>
      <w:r w:rsidR="00583452">
        <w:rPr>
          <w:rFonts w:ascii="Times New Roman" w:hAnsi="Times New Roman" w:cs="Times New Roman"/>
        </w:rPr>
        <w:t>footeren</w:t>
      </w:r>
      <w:proofErr w:type="spellEnd"/>
      <w:r w:rsidRPr="007E6BCA">
        <w:rPr>
          <w:rFonts w:ascii="Times New Roman" w:hAnsi="Times New Roman" w:cs="Times New Roman"/>
        </w:rPr>
        <w:t xml:space="preserve">. Farve </w:t>
      </w:r>
      <w:r w:rsidR="002559F8">
        <w:rPr>
          <w:rFonts w:ascii="Times New Roman" w:hAnsi="Times New Roman" w:cs="Times New Roman"/>
        </w:rPr>
        <w:t>3</w:t>
      </w:r>
      <w:r w:rsidRPr="007E6BCA">
        <w:rPr>
          <w:rFonts w:ascii="Times New Roman" w:hAnsi="Times New Roman" w:cs="Times New Roman"/>
        </w:rPr>
        <w:t xml:space="preserve"> </w:t>
      </w:r>
      <w:r w:rsidR="00583452">
        <w:rPr>
          <w:rFonts w:ascii="Times New Roman" w:hAnsi="Times New Roman" w:cs="Times New Roman"/>
        </w:rPr>
        <w:t>bruges som skriftfarve på firmanavnet på menuen.</w:t>
      </w:r>
    </w:p>
    <w:p w:rsidR="002559F8" w:rsidRDefault="002559F8">
      <w:pPr>
        <w:rPr>
          <w:rFonts w:ascii="Times New Roman" w:hAnsi="Times New Roman" w:cs="Times New Roman"/>
        </w:rPr>
      </w:pPr>
      <w:r>
        <w:rPr>
          <w:rFonts w:ascii="Times New Roman" w:hAnsi="Times New Roman" w:cs="Times New Roman"/>
        </w:rPr>
        <w:t xml:space="preserve">Farverne er baseret på det udleverede billede. De tager udgangspunkt i varme naturfarver der alle har en forbindelse til fantasy og boguniverset. Farve 1 er en let </w:t>
      </w:r>
      <w:proofErr w:type="spellStart"/>
      <w:r>
        <w:rPr>
          <w:rFonts w:ascii="Times New Roman" w:hAnsi="Times New Roman" w:cs="Times New Roman"/>
        </w:rPr>
        <w:t>sandfarve</w:t>
      </w:r>
      <w:proofErr w:type="spellEnd"/>
      <w:r>
        <w:rPr>
          <w:rFonts w:ascii="Times New Roman" w:hAnsi="Times New Roman" w:cs="Times New Roman"/>
        </w:rPr>
        <w:t xml:space="preserve">/beige med røde undertoner, der giver associationer til sider fra en gammel bog. Farve 2 er en næsten sort bordeauxrød farve der er varm. Den svinger meget i farven afhængig af hvad den i forbindelse med, lige fra brunlig til sort, men giver på alle tidspunkter en udstråling af den magiske verden hvor denne type farve ofte er at finde. Den sidste farve er en </w:t>
      </w:r>
      <w:proofErr w:type="gramStart"/>
      <w:r>
        <w:rPr>
          <w:rFonts w:ascii="Times New Roman" w:hAnsi="Times New Roman" w:cs="Times New Roman"/>
        </w:rPr>
        <w:t>smaragd grøn</w:t>
      </w:r>
      <w:proofErr w:type="gramEnd"/>
      <w:r>
        <w:rPr>
          <w:rFonts w:ascii="Times New Roman" w:hAnsi="Times New Roman" w:cs="Times New Roman"/>
        </w:rPr>
        <w:t xml:space="preserve"> farve. Ædelsten er noget man ofte finde i fantasyuniverset og samtidigt er farven meget ligesom den man finder på lamper i gamle biblioteker. </w:t>
      </w:r>
    </w:p>
    <w:p w:rsidR="002559F8" w:rsidRDefault="002559F8">
      <w:pPr>
        <w:rPr>
          <w:rFonts w:ascii="Times New Roman" w:hAnsi="Times New Roman" w:cs="Times New Roman"/>
        </w:rPr>
      </w:pPr>
      <w:r>
        <w:rPr>
          <w:rFonts w:ascii="Times New Roman" w:hAnsi="Times New Roman" w:cs="Times New Roman"/>
        </w:rPr>
        <w:t xml:space="preserve">Farverne giver altså tilsammen både forbindelse til fantasyuniverset, men også til det gamle bibliotek. </w:t>
      </w:r>
    </w:p>
    <w:p w:rsidR="007E6BCA" w:rsidRDefault="007E6BCA">
      <w:pPr>
        <w:rPr>
          <w:rFonts w:ascii="Times New Roman" w:hAnsi="Times New Roman" w:cs="Times New Roman"/>
        </w:rPr>
      </w:pPr>
    </w:p>
    <w:p w:rsidR="007E6BCA" w:rsidRDefault="007E6BCA">
      <w:pPr>
        <w:rPr>
          <w:rFonts w:ascii="Times New Roman" w:hAnsi="Times New Roman" w:cs="Times New Roman"/>
          <w:sz w:val="40"/>
          <w:szCs w:val="40"/>
        </w:rPr>
      </w:pPr>
      <w:r>
        <w:rPr>
          <w:rFonts w:ascii="Times New Roman" w:hAnsi="Times New Roman" w:cs="Times New Roman"/>
          <w:sz w:val="40"/>
          <w:szCs w:val="40"/>
        </w:rPr>
        <w:lastRenderedPageBreak/>
        <w:t>Skrifttyper</w:t>
      </w:r>
    </w:p>
    <w:p w:rsidR="007E6BCA" w:rsidRDefault="007E6BCA">
      <w:pPr>
        <w:rPr>
          <w:rFonts w:ascii="Times New Roman" w:hAnsi="Times New Roman" w:cs="Times New Roman"/>
          <w:sz w:val="24"/>
          <w:szCs w:val="24"/>
        </w:rPr>
      </w:pPr>
      <w:r>
        <w:rPr>
          <w:rFonts w:ascii="Times New Roman" w:hAnsi="Times New Roman" w:cs="Times New Roman"/>
          <w:sz w:val="24"/>
          <w:szCs w:val="24"/>
        </w:rPr>
        <w:t xml:space="preserve">Til overskrifter bruges fonten </w:t>
      </w:r>
      <w:proofErr w:type="spellStart"/>
      <w:r>
        <w:rPr>
          <w:rFonts w:ascii="Times New Roman" w:hAnsi="Times New Roman" w:cs="Times New Roman"/>
          <w:sz w:val="24"/>
          <w:szCs w:val="24"/>
        </w:rPr>
        <w:t>Merriweather</w:t>
      </w:r>
      <w:proofErr w:type="spellEnd"/>
      <w:r>
        <w:rPr>
          <w:rFonts w:ascii="Times New Roman" w:hAnsi="Times New Roman" w:cs="Times New Roman"/>
          <w:sz w:val="24"/>
          <w:szCs w:val="24"/>
        </w:rPr>
        <w:t xml:space="preserve">. For at fastholde temaet ”gammel </w:t>
      </w:r>
      <w:proofErr w:type="spellStart"/>
      <w:r>
        <w:rPr>
          <w:rFonts w:ascii="Times New Roman" w:hAnsi="Times New Roman" w:cs="Times New Roman"/>
          <w:sz w:val="24"/>
          <w:szCs w:val="24"/>
        </w:rPr>
        <w:t>bogbutik</w:t>
      </w:r>
      <w:proofErr w:type="spellEnd"/>
      <w:r>
        <w:rPr>
          <w:rFonts w:ascii="Times New Roman" w:hAnsi="Times New Roman" w:cs="Times New Roman"/>
          <w:sz w:val="24"/>
          <w:szCs w:val="24"/>
        </w:rPr>
        <w:t xml:space="preserve">” har den font der bruges til overskrifterne </w:t>
      </w:r>
      <w:proofErr w:type="spellStart"/>
      <w:r>
        <w:rPr>
          <w:rFonts w:ascii="Times New Roman" w:hAnsi="Times New Roman" w:cs="Times New Roman"/>
          <w:sz w:val="24"/>
          <w:szCs w:val="24"/>
        </w:rPr>
        <w:t>seriffer</w:t>
      </w:r>
      <w:proofErr w:type="spellEnd"/>
      <w:r>
        <w:rPr>
          <w:rFonts w:ascii="Times New Roman" w:hAnsi="Times New Roman" w:cs="Times New Roman"/>
          <w:sz w:val="24"/>
          <w:szCs w:val="24"/>
        </w:rPr>
        <w:t xml:space="preserve">, men for stadig at gøre indholdet på siden læsbart bruges en sans </w:t>
      </w:r>
      <w:proofErr w:type="spellStart"/>
      <w:r>
        <w:rPr>
          <w:rFonts w:ascii="Times New Roman" w:hAnsi="Times New Roman" w:cs="Times New Roman"/>
          <w:sz w:val="24"/>
          <w:szCs w:val="24"/>
        </w:rPr>
        <w:t>serif</w:t>
      </w:r>
      <w:proofErr w:type="spellEnd"/>
      <w:r>
        <w:rPr>
          <w:rFonts w:ascii="Times New Roman" w:hAnsi="Times New Roman" w:cs="Times New Roman"/>
          <w:sz w:val="24"/>
          <w:szCs w:val="24"/>
        </w:rPr>
        <w:t xml:space="preserve">. Som sans </w:t>
      </w:r>
      <w:proofErr w:type="spellStart"/>
      <w:r>
        <w:rPr>
          <w:rFonts w:ascii="Times New Roman" w:hAnsi="Times New Roman" w:cs="Times New Roman"/>
          <w:sz w:val="24"/>
          <w:szCs w:val="24"/>
        </w:rPr>
        <w:t>serif</w:t>
      </w:r>
      <w:proofErr w:type="spellEnd"/>
      <w:r>
        <w:rPr>
          <w:rFonts w:ascii="Times New Roman" w:hAnsi="Times New Roman" w:cs="Times New Roman"/>
          <w:sz w:val="24"/>
          <w:szCs w:val="24"/>
        </w:rPr>
        <w:t xml:space="preserve"> er skrifttypen </w:t>
      </w:r>
      <w:proofErr w:type="spellStart"/>
      <w:r>
        <w:rPr>
          <w:rFonts w:ascii="Times New Roman" w:hAnsi="Times New Roman" w:cs="Times New Roman"/>
          <w:sz w:val="24"/>
          <w:szCs w:val="24"/>
        </w:rPr>
        <w:t>Roboto</w:t>
      </w:r>
      <w:proofErr w:type="spellEnd"/>
      <w:r>
        <w:rPr>
          <w:rFonts w:ascii="Times New Roman" w:hAnsi="Times New Roman" w:cs="Times New Roman"/>
          <w:sz w:val="24"/>
          <w:szCs w:val="24"/>
        </w:rPr>
        <w:t xml:space="preserve"> valgt. Den bruges ofte til hjemmesider fordi den netop er meget læsbar.</w:t>
      </w:r>
    </w:p>
    <w:p w:rsidR="002559F8" w:rsidRDefault="002559F8">
      <w:pPr>
        <w:rPr>
          <w:rFonts w:ascii="Times New Roman" w:hAnsi="Times New Roman" w:cs="Times New Roman"/>
          <w:sz w:val="24"/>
          <w:szCs w:val="24"/>
        </w:rPr>
      </w:pPr>
      <w:r>
        <w:rPr>
          <w:rFonts w:ascii="Times New Roman" w:hAnsi="Times New Roman" w:cs="Times New Roman"/>
          <w:sz w:val="24"/>
          <w:szCs w:val="24"/>
        </w:rPr>
        <w:t>Skrifttyperne giver altså både brugeren fornemmelsen af at være rejst til et andet univers, samtidigt med at de kan læse hvad der står på siderne.</w:t>
      </w:r>
    </w:p>
    <w:p w:rsidR="007E6BCA" w:rsidRDefault="007E6BCA">
      <w:pPr>
        <w:rPr>
          <w:rFonts w:ascii="Times New Roman" w:hAnsi="Times New Roman" w:cs="Times New Roman"/>
          <w:sz w:val="24"/>
          <w:szCs w:val="24"/>
        </w:rPr>
      </w:pPr>
    </w:p>
    <w:p w:rsidR="007E6BCA" w:rsidRDefault="007E6BCA">
      <w:pPr>
        <w:rPr>
          <w:rFonts w:ascii="Times New Roman" w:hAnsi="Times New Roman" w:cs="Times New Roman"/>
          <w:sz w:val="40"/>
          <w:szCs w:val="40"/>
        </w:rPr>
      </w:pPr>
      <w:r>
        <w:rPr>
          <w:rFonts w:ascii="Times New Roman" w:hAnsi="Times New Roman" w:cs="Times New Roman"/>
          <w:sz w:val="40"/>
          <w:szCs w:val="40"/>
        </w:rPr>
        <w:t>Komposition</w:t>
      </w:r>
    </w:p>
    <w:p w:rsidR="007E6BCA" w:rsidRDefault="007E6BCA">
      <w:pPr>
        <w:rPr>
          <w:rFonts w:ascii="Times New Roman" w:hAnsi="Times New Roman" w:cs="Times New Roman"/>
          <w:sz w:val="24"/>
          <w:szCs w:val="24"/>
        </w:rPr>
      </w:pPr>
      <w:r>
        <w:rPr>
          <w:rFonts w:ascii="Times New Roman" w:hAnsi="Times New Roman" w:cs="Times New Roman"/>
          <w:sz w:val="24"/>
          <w:szCs w:val="24"/>
        </w:rPr>
        <w:t xml:space="preserve">På både mobil og </w:t>
      </w:r>
      <w:proofErr w:type="gramStart"/>
      <w:r>
        <w:rPr>
          <w:rFonts w:ascii="Times New Roman" w:hAnsi="Times New Roman" w:cs="Times New Roman"/>
          <w:sz w:val="24"/>
          <w:szCs w:val="24"/>
        </w:rPr>
        <w:t>desktop versionen</w:t>
      </w:r>
      <w:proofErr w:type="gramEnd"/>
      <w:r>
        <w:rPr>
          <w:rFonts w:ascii="Times New Roman" w:hAnsi="Times New Roman" w:cs="Times New Roman"/>
          <w:sz w:val="24"/>
          <w:szCs w:val="24"/>
        </w:rPr>
        <w:t xml:space="preserve"> vil der være og menu som header som vil fylde hele bredden af viewporten. Det samme gælder </w:t>
      </w:r>
      <w:proofErr w:type="spellStart"/>
      <w:r>
        <w:rPr>
          <w:rFonts w:ascii="Times New Roman" w:hAnsi="Times New Roman" w:cs="Times New Roman"/>
          <w:sz w:val="24"/>
          <w:szCs w:val="24"/>
        </w:rPr>
        <w:t>footeren</w:t>
      </w:r>
      <w:proofErr w:type="spellEnd"/>
      <w:r>
        <w:rPr>
          <w:rFonts w:ascii="Times New Roman" w:hAnsi="Times New Roman" w:cs="Times New Roman"/>
          <w:sz w:val="24"/>
          <w:szCs w:val="24"/>
        </w:rPr>
        <w:t xml:space="preserve"> der også vil fylde hele bredden.</w:t>
      </w:r>
    </w:p>
    <w:p w:rsidR="007E6BCA" w:rsidRDefault="007E6BCA">
      <w:pPr>
        <w:rPr>
          <w:rFonts w:ascii="Times New Roman" w:hAnsi="Times New Roman" w:cs="Times New Roman"/>
          <w:sz w:val="24"/>
          <w:szCs w:val="24"/>
        </w:rPr>
      </w:pPr>
      <w:r>
        <w:rPr>
          <w:rFonts w:ascii="Times New Roman" w:hAnsi="Times New Roman" w:cs="Times New Roman"/>
          <w:sz w:val="24"/>
          <w:szCs w:val="24"/>
        </w:rPr>
        <w:t xml:space="preserve">Selve indholdet vil blive en kombination af billeder og </w:t>
      </w:r>
      <w:r w:rsidR="00D2605F">
        <w:rPr>
          <w:rFonts w:ascii="Times New Roman" w:hAnsi="Times New Roman" w:cs="Times New Roman"/>
          <w:sz w:val="24"/>
          <w:szCs w:val="24"/>
        </w:rPr>
        <w:t>tekst, med gennemgående rækkefølge af tekst under et billede, for at modveje de steder der er meget tekst bruges billederne som blikfang.</w:t>
      </w:r>
    </w:p>
    <w:p w:rsidR="002559F8" w:rsidRPr="007E6BCA" w:rsidRDefault="002559F8">
      <w:pPr>
        <w:rPr>
          <w:rFonts w:ascii="Times New Roman" w:hAnsi="Times New Roman" w:cs="Times New Roman"/>
          <w:sz w:val="24"/>
          <w:szCs w:val="24"/>
        </w:rPr>
      </w:pPr>
      <w:r>
        <w:rPr>
          <w:rFonts w:ascii="Times New Roman" w:hAnsi="Times New Roman" w:cs="Times New Roman"/>
          <w:sz w:val="24"/>
          <w:szCs w:val="24"/>
        </w:rPr>
        <w:t xml:space="preserve">Kompositionen </w:t>
      </w:r>
      <w:proofErr w:type="gramStart"/>
      <w:r>
        <w:rPr>
          <w:rFonts w:ascii="Times New Roman" w:hAnsi="Times New Roman" w:cs="Times New Roman"/>
          <w:sz w:val="24"/>
          <w:szCs w:val="24"/>
        </w:rPr>
        <w:t>fungere</w:t>
      </w:r>
      <w:proofErr w:type="gramEnd"/>
      <w:r>
        <w:rPr>
          <w:rFonts w:ascii="Times New Roman" w:hAnsi="Times New Roman" w:cs="Times New Roman"/>
          <w:sz w:val="24"/>
          <w:szCs w:val="24"/>
        </w:rPr>
        <w:t xml:space="preserve"> både på mobil og desktop hvilket også giver en genkendelighed for brugeren, ligesom at farverne er holdt på både desktop og mobil</w:t>
      </w:r>
      <w:r w:rsidR="000F3AFE">
        <w:rPr>
          <w:rFonts w:ascii="Times New Roman" w:hAnsi="Times New Roman" w:cs="Times New Roman"/>
          <w:sz w:val="24"/>
          <w:szCs w:val="24"/>
        </w:rPr>
        <w:t>.</w:t>
      </w:r>
    </w:p>
    <w:p w:rsidR="007E6BCA" w:rsidRPr="007E6BCA" w:rsidRDefault="007E6BCA">
      <w:pPr>
        <w:rPr>
          <w:rFonts w:ascii="Times New Roman" w:hAnsi="Times New Roman" w:cs="Times New Roman"/>
          <w:sz w:val="24"/>
          <w:szCs w:val="24"/>
        </w:rPr>
      </w:pPr>
    </w:p>
    <w:p w:rsidR="00570DB2" w:rsidRDefault="00570DB2"/>
    <w:p w:rsidR="00465528" w:rsidRDefault="00465528">
      <w:r>
        <w:t xml:space="preserve"> </w:t>
      </w:r>
    </w:p>
    <w:sectPr w:rsidR="00465528">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496" w:rsidRDefault="00A37496" w:rsidP="00977ABA">
      <w:pPr>
        <w:spacing w:after="0" w:line="240" w:lineRule="auto"/>
      </w:pPr>
      <w:r>
        <w:separator/>
      </w:r>
    </w:p>
  </w:endnote>
  <w:endnote w:type="continuationSeparator" w:id="0">
    <w:p w:rsidR="00A37496" w:rsidRDefault="00A37496" w:rsidP="00977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51246"/>
      <w:docPartObj>
        <w:docPartGallery w:val="Page Numbers (Bottom of Page)"/>
        <w:docPartUnique/>
      </w:docPartObj>
    </w:sdtPr>
    <w:sdtEndPr/>
    <w:sdtContent>
      <w:sdt>
        <w:sdtPr>
          <w:id w:val="-1705238520"/>
          <w:docPartObj>
            <w:docPartGallery w:val="Page Numbers (Top of Page)"/>
            <w:docPartUnique/>
          </w:docPartObj>
        </w:sdtPr>
        <w:sdtEndPr/>
        <w:sdtContent>
          <w:p w:rsidR="00977ABA" w:rsidRDefault="00977ABA" w:rsidP="00977ABA">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977ABA" w:rsidRDefault="00977AB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496" w:rsidRDefault="00A37496" w:rsidP="00977ABA">
      <w:pPr>
        <w:spacing w:after="0" w:line="240" w:lineRule="auto"/>
      </w:pPr>
      <w:r>
        <w:separator/>
      </w:r>
    </w:p>
  </w:footnote>
  <w:footnote w:type="continuationSeparator" w:id="0">
    <w:p w:rsidR="00A37496" w:rsidRDefault="00A37496" w:rsidP="00977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ABA" w:rsidRPr="00977ABA" w:rsidRDefault="00977ABA">
    <w:pPr>
      <w:pStyle w:val="Sidehoved"/>
      <w:rPr>
        <w:lang w:val="en-US"/>
      </w:rPr>
    </w:pPr>
    <w:r w:rsidRPr="00977ABA">
      <w:rPr>
        <w:lang w:val="en-US"/>
      </w:rPr>
      <w:t xml:space="preserve">Victoria Ifeoma </w:t>
    </w:r>
    <w:proofErr w:type="spellStart"/>
    <w:r w:rsidRPr="00977ABA">
      <w:rPr>
        <w:lang w:val="en-US"/>
      </w:rPr>
      <w:t>Klujeff</w:t>
    </w:r>
    <w:proofErr w:type="spellEnd"/>
    <w:r>
      <w:ptab w:relativeTo="margin" w:alignment="center" w:leader="none"/>
    </w:r>
    <w:proofErr w:type="spellStart"/>
    <w:r w:rsidRPr="00977ABA">
      <w:rPr>
        <w:lang w:val="en-US"/>
      </w:rPr>
      <w:t>Visualisering</w:t>
    </w:r>
    <w:proofErr w:type="spellEnd"/>
    <w:r w:rsidRPr="00977ABA">
      <w:rPr>
        <w:lang w:val="en-US"/>
      </w:rPr>
      <w:t xml:space="preserve"> 2 – web construction</w:t>
    </w:r>
    <w:r>
      <w:ptab w:relativeTo="margin" w:alignment="right" w:leader="none"/>
    </w:r>
    <w:r w:rsidRPr="00977ABA">
      <w:rPr>
        <w:lang w:val="en-US"/>
      </w:rPr>
      <w:t>17</w:t>
    </w:r>
    <w:r>
      <w:rPr>
        <w:lang w:val="en-US"/>
      </w:rPr>
      <w:t>-01-2020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BA"/>
    <w:rsid w:val="00050C7D"/>
    <w:rsid w:val="000F3AFE"/>
    <w:rsid w:val="00153168"/>
    <w:rsid w:val="002559F8"/>
    <w:rsid w:val="002747CA"/>
    <w:rsid w:val="002F1457"/>
    <w:rsid w:val="003F5AA9"/>
    <w:rsid w:val="00465528"/>
    <w:rsid w:val="00494428"/>
    <w:rsid w:val="00570DB2"/>
    <w:rsid w:val="00583452"/>
    <w:rsid w:val="0061697A"/>
    <w:rsid w:val="007E6BCA"/>
    <w:rsid w:val="00977ABA"/>
    <w:rsid w:val="00A37496"/>
    <w:rsid w:val="00A61AEB"/>
    <w:rsid w:val="00AD23C3"/>
    <w:rsid w:val="00BD099E"/>
    <w:rsid w:val="00CB4A11"/>
    <w:rsid w:val="00D260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2C42"/>
  <w15:chartTrackingRefBased/>
  <w15:docId w15:val="{8DF654EF-3E35-46D3-AB9F-51EFC807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77A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77ABA"/>
  </w:style>
  <w:style w:type="paragraph" w:styleId="Sidefod">
    <w:name w:val="footer"/>
    <w:basedOn w:val="Normal"/>
    <w:link w:val="SidefodTegn"/>
    <w:uiPriority w:val="99"/>
    <w:unhideWhenUsed/>
    <w:rsid w:val="00977A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77ABA"/>
  </w:style>
  <w:style w:type="table" w:styleId="Tabel-Gitter">
    <w:name w:val="Table Grid"/>
    <w:basedOn w:val="Tabel-Normal"/>
    <w:uiPriority w:val="39"/>
    <w:rsid w:val="00977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326</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Ifeoma Rygaard Andresen</dc:creator>
  <cp:keywords/>
  <dc:description/>
  <cp:lastModifiedBy>Victoria Ifeoma Rygaard Andresen</cp:lastModifiedBy>
  <cp:revision>8</cp:revision>
  <cp:lastPrinted>2020-01-16T13:49:00Z</cp:lastPrinted>
  <dcterms:created xsi:type="dcterms:W3CDTF">2020-01-15T08:00:00Z</dcterms:created>
  <dcterms:modified xsi:type="dcterms:W3CDTF">2020-01-16T13:51:00Z</dcterms:modified>
</cp:coreProperties>
</file>