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spacing w:line="276" w:lineRule="auto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spacing w:line="276" w:lineRule="auto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spacing w:line="276" w:lineRule="auto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spacing w:line="276" w:lineRule="auto"/>
        <w:ind w:left="1279" w:hanging="285"/>
        <w:rPr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spacing w:line="276" w:lineRule="auto"/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spacing w:line="276" w:lineRule="auto"/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40"/>
        <w:gridCol w:w="5520"/>
        <w:gridCol w:w="615"/>
        <w:gridCol w:w="615"/>
        <w:gridCol w:w="615"/>
        <w:gridCol w:w="615"/>
        <w:tblGridChange w:id="0">
          <w:tblGrid>
            <w:gridCol w:w="54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das Finanças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Recepção controlada dos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Recepção dos pedidos pela cozinha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Inicie o seu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Cardápio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Funcionários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Atendimento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Ficha técnica do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Atendimento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Acompanhe o seu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mobile aos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cadastro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Frete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um novo cardápio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  <w:t xml:space="preserve">Gestão de 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de  satisfação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mais vendidos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Denunciar anúncio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Meio pagamento de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 nós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da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Baixe o 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Redes sociais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de uma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Mobile à Área da Cozinha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promoções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Baixe o 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 nós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Pacote Festa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Mapa do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Cartão fidelidade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com vendedor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Seja avisado das ofertas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Cupom de desconto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Compartilhar Pizza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Avaliar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Escolha a loja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Politicas de privacidades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