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FB42" w14:textId="1C123ED5" w:rsidR="005E40EE" w:rsidRPr="00881273" w:rsidRDefault="005E40EE" w:rsidP="00721D29">
      <w:pPr>
        <w:shd w:val="clear" w:color="auto" w:fill="E8E8E8" w:themeFill="background2"/>
        <w:rPr>
          <w:b/>
          <w:bCs/>
          <w:lang w:val="en-CA"/>
        </w:rPr>
      </w:pPr>
      <w:r w:rsidRPr="00881273">
        <w:rPr>
          <w:b/>
          <w:bCs/>
          <w:lang w:val="en-CA"/>
        </w:rPr>
        <w:t>Agile organization</w:t>
      </w:r>
    </w:p>
    <w:p w14:paraId="6ECD984F" w14:textId="78C50D1D" w:rsidR="005E40EE" w:rsidRDefault="005E40EE">
      <w:pPr>
        <w:rPr>
          <w:lang w:val="en-CA"/>
        </w:rPr>
      </w:pPr>
      <w:r>
        <w:rPr>
          <w:lang w:val="en-CA"/>
        </w:rPr>
        <w:t>Board, dailies, independent tasks (out of git)</w:t>
      </w:r>
    </w:p>
    <w:p w14:paraId="02C81D91" w14:textId="7E10C87A" w:rsidR="005E40EE" w:rsidRDefault="005E40EE">
      <w:pPr>
        <w:rPr>
          <w:lang w:val="en-CA"/>
        </w:rPr>
      </w:pPr>
      <w:r>
        <w:rPr>
          <w:lang w:val="en-CA"/>
        </w:rPr>
        <w:t>Adaptability and reactivity: Additional datasets, updates, data completion and fixes</w:t>
      </w:r>
    </w:p>
    <w:p w14:paraId="1829571D" w14:textId="77777777" w:rsidR="00721D29" w:rsidRPr="00C21AB4" w:rsidRDefault="00D72891" w:rsidP="00721D29">
      <w:pPr>
        <w:shd w:val="clear" w:color="auto" w:fill="E8E8E8" w:themeFill="background2"/>
        <w:rPr>
          <w:b/>
          <w:bCs/>
          <w:lang w:val="en-CA"/>
        </w:rPr>
      </w:pPr>
      <w:r w:rsidRPr="00C21AB4">
        <w:rPr>
          <w:b/>
          <w:bCs/>
          <w:lang w:val="en-CA"/>
        </w:rPr>
        <w:t>Business </w:t>
      </w:r>
    </w:p>
    <w:p w14:paraId="4C6FF22C" w14:textId="4FE4B747" w:rsidR="00D72891" w:rsidRDefault="00C21AB4" w:rsidP="00D72891">
      <w:pPr>
        <w:rPr>
          <w:lang w:val="en-CA"/>
        </w:rPr>
      </w:pPr>
      <w:r w:rsidRPr="00C21AB4">
        <w:rPr>
          <w:lang w:val="en-CA"/>
        </w:rPr>
        <w:t>To</w:t>
      </w:r>
      <w:r>
        <w:rPr>
          <w:lang w:val="en-CA"/>
        </w:rPr>
        <w:t xml:space="preserve"> define more precisely. I would say towards social.</w:t>
      </w:r>
      <w:r w:rsidR="00D72891" w:rsidRPr="00C21AB4">
        <w:rPr>
          <w:lang w:val="en-CA"/>
        </w:rPr>
        <w:t xml:space="preserve"> </w:t>
      </w:r>
      <w:r w:rsidR="00D72891" w:rsidRPr="00D72891">
        <w:rPr>
          <w:lang w:val="en-CA"/>
        </w:rPr>
        <w:t>Political thinktank, NGO, developing religious products</w:t>
      </w:r>
      <w:r w:rsidR="00D72891">
        <w:rPr>
          <w:lang w:val="en-CA"/>
        </w:rPr>
        <w:t xml:space="preserve"> and social services, like reinforcing education and diversity programs</w:t>
      </w:r>
    </w:p>
    <w:p w14:paraId="2EE77A72" w14:textId="4B8D500E" w:rsidR="00D72891" w:rsidRPr="004A215A" w:rsidRDefault="004A215A" w:rsidP="00721D29">
      <w:pPr>
        <w:shd w:val="clear" w:color="auto" w:fill="E8E8E8" w:themeFill="background2"/>
        <w:rPr>
          <w:b/>
          <w:bCs/>
          <w:lang w:val="en-CA"/>
        </w:rPr>
      </w:pPr>
      <w:r w:rsidRPr="004A215A">
        <w:rPr>
          <w:b/>
          <w:bCs/>
          <w:lang w:val="en-CA"/>
        </w:rPr>
        <w:t>Introduction: Preliminary research</w:t>
      </w:r>
    </w:p>
    <w:p w14:paraId="21085CEA" w14:textId="55A19707" w:rsidR="00D72891" w:rsidRDefault="00D72891" w:rsidP="00D72891">
      <w:pPr>
        <w:rPr>
          <w:lang w:val="en-CA"/>
        </w:rPr>
      </w:pPr>
      <w:r w:rsidRPr="00D72891">
        <w:rPr>
          <w:lang w:val="en-CA"/>
        </w:rPr>
        <w:t>Several research show that t</w:t>
      </w:r>
      <w:r>
        <w:rPr>
          <w:lang w:val="en-CA"/>
        </w:rPr>
        <w:t>here is a relation between religiosity and different factors and provided some results, that can sometimes appear contradictory.</w:t>
      </w:r>
    </w:p>
    <w:p w14:paraId="707A0D79" w14:textId="27F39AC4" w:rsidR="00F86C0F" w:rsidRPr="00721D29" w:rsidRDefault="00F86C0F" w:rsidP="00D72891">
      <w:pPr>
        <w:rPr>
          <w:i/>
          <w:iCs/>
          <w:lang w:val="en-CA"/>
        </w:rPr>
      </w:pPr>
      <w:r w:rsidRPr="00721D29">
        <w:rPr>
          <w:i/>
          <w:iCs/>
          <w:lang w:val="en-CA"/>
        </w:rPr>
        <w:t>Conflict</w:t>
      </w:r>
    </w:p>
    <w:p w14:paraId="57479F68" w14:textId="35CBDCFA" w:rsidR="00F86C0F" w:rsidRPr="00F86C0F" w:rsidRDefault="00F86C0F" w:rsidP="00D72891">
      <w:pPr>
        <w:rPr>
          <w:lang w:val="en-CA"/>
        </w:rPr>
      </w:pPr>
      <w:r w:rsidRPr="00F86C0F">
        <w:rPr>
          <w:lang w:val="en-CA"/>
        </w:rPr>
        <w:t>Direct exposure to armed conflict can increase individual religiosity in some groups, serving as a coping mechanism (Shai, 2022, J. Econ. Behav. &amp; Org.). In highly secularized societies, conflict may instead lead to religious rejection or disaffiliation, especially when religious institutions are perceived as ineffective (e.g., France after WWII, current conflict zones).</w:t>
      </w:r>
    </w:p>
    <w:p w14:paraId="39FA3BA5" w14:textId="4E8FF12F" w:rsidR="00F86C0F" w:rsidRPr="00721D29" w:rsidRDefault="00F86C0F" w:rsidP="00D72891">
      <w:pPr>
        <w:rPr>
          <w:i/>
          <w:iCs/>
          <w:lang w:val="en-CA"/>
        </w:rPr>
      </w:pPr>
      <w:r w:rsidRPr="00721D29">
        <w:rPr>
          <w:i/>
          <w:iCs/>
          <w:lang w:val="en-CA"/>
        </w:rPr>
        <w:t>Wealth (GDP per capita)</w:t>
      </w:r>
    </w:p>
    <w:p w14:paraId="145AA8F4" w14:textId="6B5A605B" w:rsidR="00D72891" w:rsidRDefault="004A215A" w:rsidP="004A215A">
      <w:pPr>
        <w:rPr>
          <w:lang w:val="en-CA"/>
        </w:rPr>
      </w:pPr>
      <w:r w:rsidRPr="004A215A">
        <w:rPr>
          <w:rFonts w:ascii="Aptos" w:hAnsi="Aptos"/>
          <w:color w:val="000000"/>
          <w:lang w:val="en-CA"/>
        </w:rPr>
        <w:t>Religiosity often declines in stable, economically developed countries, especially those marked by scientific rationalization and a liberal economy (Weber</w:t>
      </w:r>
      <w:r>
        <w:rPr>
          <w:rFonts w:ascii="Aptos" w:hAnsi="Aptos"/>
          <w:color w:val="000000"/>
          <w:lang w:val="en-CA"/>
        </w:rPr>
        <w:t xml:space="preserve">, </w:t>
      </w:r>
      <w:r w:rsidRPr="004A215A">
        <w:rPr>
          <w:rFonts w:ascii="Aptos" w:hAnsi="Aptos"/>
          <w:color w:val="000000"/>
          <w:lang w:val="en-CA"/>
        </w:rPr>
        <w:t xml:space="preserve">1905, Inglehart &amp; Norris (2004), Barro &amp; McCleary (2003)). </w:t>
      </w:r>
      <w:r w:rsidR="00D72891">
        <w:rPr>
          <w:lang w:val="en-CA"/>
        </w:rPr>
        <w:t xml:space="preserve"> At the opposite, </w:t>
      </w:r>
      <w:r w:rsidR="00F86C0F" w:rsidRPr="00F86C0F">
        <w:rPr>
          <w:lang w:val="en-CA"/>
        </w:rPr>
        <w:t>modernity and the division of labor foster social isolation and disenchantment, prompting individuals to turn to religion for meaning and cohesion</w:t>
      </w:r>
      <w:r w:rsidR="00F86C0F">
        <w:rPr>
          <w:lang w:val="en-CA"/>
        </w:rPr>
        <w:t xml:space="preserve"> (</w:t>
      </w:r>
      <w:r w:rsidR="00F86C0F" w:rsidRPr="00F86C0F">
        <w:rPr>
          <w:lang w:val="en-CA"/>
        </w:rPr>
        <w:t>Durkheim</w:t>
      </w:r>
      <w:r w:rsidR="00F86C0F">
        <w:rPr>
          <w:lang w:val="en-CA"/>
        </w:rPr>
        <w:t>,</w:t>
      </w:r>
      <w:r w:rsidR="00F86C0F" w:rsidRPr="00F86C0F">
        <w:rPr>
          <w:lang w:val="en-CA"/>
        </w:rPr>
        <w:t>1912, Tocqueville</w:t>
      </w:r>
      <w:r w:rsidR="00F86C0F">
        <w:rPr>
          <w:lang w:val="en-CA"/>
        </w:rPr>
        <w:t xml:space="preserve">, </w:t>
      </w:r>
      <w:r w:rsidR="00F86C0F" w:rsidRPr="00F86C0F">
        <w:rPr>
          <w:lang w:val="en-CA"/>
        </w:rPr>
        <w:t>1835).</w:t>
      </w:r>
    </w:p>
    <w:p w14:paraId="1235E566" w14:textId="47E71E97" w:rsidR="00F86C0F" w:rsidRPr="00721D29" w:rsidRDefault="00F86C0F" w:rsidP="00D72891">
      <w:pPr>
        <w:rPr>
          <w:i/>
          <w:iCs/>
          <w:lang w:val="en-CA"/>
        </w:rPr>
      </w:pPr>
      <w:r w:rsidRPr="00721D29">
        <w:rPr>
          <w:i/>
          <w:iCs/>
          <w:lang w:val="en-CA"/>
        </w:rPr>
        <w:t>HDI</w:t>
      </w:r>
    </w:p>
    <w:p w14:paraId="308FF7AF" w14:textId="5ECC6A0E" w:rsidR="00F86C0F" w:rsidRDefault="00F86C0F" w:rsidP="00D72891">
      <w:pPr>
        <w:rPr>
          <w:lang w:val="en-CA"/>
        </w:rPr>
      </w:pPr>
      <w:r w:rsidRPr="00F86C0F">
        <w:rPr>
          <w:lang w:val="en-CA"/>
        </w:rPr>
        <w:t>High HDI, urbanization, and greater access to education are associated with a decline in religiosity (Norris &amp; Inglehart, 2011; Barro &amp; McCleary, 2003)</w:t>
      </w:r>
    </w:p>
    <w:p w14:paraId="626A9DDF" w14:textId="1E86E9DC" w:rsidR="004A215A" w:rsidRPr="004A215A" w:rsidRDefault="00721D29" w:rsidP="00721D29">
      <w:pPr>
        <w:shd w:val="clear" w:color="auto" w:fill="E8E8E8" w:themeFill="background2"/>
        <w:rPr>
          <w:b/>
          <w:bCs/>
          <w:lang w:val="en-CA"/>
        </w:rPr>
      </w:pPr>
      <w:r w:rsidRPr="00721D29">
        <w:rPr>
          <w:b/>
          <w:bCs/>
          <w:lang w:val="en-CA"/>
        </w:rPr>
        <w:t>Questions and hypothesis</w:t>
      </w:r>
    </w:p>
    <w:p w14:paraId="7BFC8476" w14:textId="77777777" w:rsidR="004A215A" w:rsidRPr="004A215A" w:rsidRDefault="004A215A" w:rsidP="00721D29">
      <w:pPr>
        <w:rPr>
          <w:lang w:val="en-CA"/>
        </w:rPr>
      </w:pPr>
      <w:r w:rsidRPr="004A215A">
        <w:rPr>
          <w:b/>
          <w:bCs/>
          <w:lang w:val="en-CA"/>
        </w:rPr>
        <w:t>Question:</w:t>
      </w:r>
      <w:r w:rsidRPr="004A215A">
        <w:rPr>
          <w:lang w:val="en-CA"/>
        </w:rPr>
        <w:t xml:space="preserve"> Do conflicts increase or decrease religiosity?</w:t>
      </w:r>
    </w:p>
    <w:p w14:paraId="2172A146" w14:textId="0883ED45" w:rsidR="004A215A" w:rsidRPr="004A215A" w:rsidRDefault="00721D29" w:rsidP="00721D29">
      <w:pPr>
        <w:rPr>
          <w:lang w:val="en-CA"/>
        </w:rPr>
      </w:pPr>
      <w:r>
        <w:rPr>
          <w:b/>
          <w:bCs/>
          <w:lang w:val="en-CA"/>
        </w:rPr>
        <w:t>H1</w:t>
      </w:r>
      <w:r w:rsidR="004A215A" w:rsidRPr="004A215A">
        <w:rPr>
          <w:b/>
          <w:bCs/>
          <w:lang w:val="en-CA"/>
        </w:rPr>
        <w:t>:</w:t>
      </w:r>
      <w:r w:rsidR="004A215A" w:rsidRPr="004A215A">
        <w:rPr>
          <w:lang w:val="en-CA"/>
        </w:rPr>
        <w:t xml:space="preserve"> Exposure to conflict raises religiosity as a coping </w:t>
      </w:r>
      <w:r w:rsidRPr="004A215A">
        <w:rPr>
          <w:lang w:val="en-CA"/>
        </w:rPr>
        <w:t>mechanism but</w:t>
      </w:r>
      <w:r w:rsidR="004A215A" w:rsidRPr="004A215A">
        <w:rPr>
          <w:lang w:val="en-CA"/>
        </w:rPr>
        <w:t xml:space="preserve"> may decrease it in highly secularized societies.</w:t>
      </w:r>
      <w:r>
        <w:rPr>
          <w:lang w:val="en-CA"/>
        </w:rPr>
        <w:t xml:space="preserve"> </w:t>
      </w:r>
    </w:p>
    <w:p w14:paraId="6911D280" w14:textId="77777777" w:rsidR="004A215A" w:rsidRPr="004A215A" w:rsidRDefault="004A215A" w:rsidP="00721D29">
      <w:pPr>
        <w:rPr>
          <w:lang w:val="en-CA"/>
        </w:rPr>
      </w:pPr>
      <w:r w:rsidRPr="004A215A">
        <w:rPr>
          <w:b/>
          <w:bCs/>
          <w:lang w:val="en-CA"/>
        </w:rPr>
        <w:t>Question:</w:t>
      </w:r>
      <w:r w:rsidRPr="004A215A">
        <w:rPr>
          <w:lang w:val="en-CA"/>
        </w:rPr>
        <w:t xml:space="preserve"> Does higher economic development reduce religiosity?</w:t>
      </w:r>
    </w:p>
    <w:p w14:paraId="6BC55FF9" w14:textId="1F990C83" w:rsidR="004A215A" w:rsidRPr="004A215A" w:rsidRDefault="00721D29" w:rsidP="00721D29">
      <w:pPr>
        <w:rPr>
          <w:lang w:val="en-CA"/>
        </w:rPr>
      </w:pPr>
      <w:r>
        <w:rPr>
          <w:b/>
          <w:bCs/>
          <w:lang w:val="en-CA"/>
        </w:rPr>
        <w:t>H2</w:t>
      </w:r>
      <w:r w:rsidR="004A215A" w:rsidRPr="004A215A">
        <w:rPr>
          <w:b/>
          <w:bCs/>
          <w:lang w:val="en-CA"/>
        </w:rPr>
        <w:t>:</w:t>
      </w:r>
      <w:r w:rsidR="004A215A" w:rsidRPr="004A215A">
        <w:rPr>
          <w:lang w:val="en-CA"/>
        </w:rPr>
        <w:t xml:space="preserve"> High GDP countries have lower religiosity; low GDP countries have higher religiosity.</w:t>
      </w:r>
    </w:p>
    <w:p w14:paraId="2984B649" w14:textId="77777777" w:rsidR="004A215A" w:rsidRPr="004A215A" w:rsidRDefault="004A215A" w:rsidP="00721D29">
      <w:pPr>
        <w:rPr>
          <w:lang w:val="en-CA"/>
        </w:rPr>
      </w:pPr>
      <w:r w:rsidRPr="004A215A">
        <w:rPr>
          <w:b/>
          <w:bCs/>
          <w:lang w:val="en-CA"/>
        </w:rPr>
        <w:t>Question:</w:t>
      </w:r>
      <w:r w:rsidRPr="004A215A">
        <w:rPr>
          <w:lang w:val="en-CA"/>
        </w:rPr>
        <w:t xml:space="preserve"> Does human development affect religiosity?</w:t>
      </w:r>
    </w:p>
    <w:p w14:paraId="6351D433" w14:textId="31990A16" w:rsidR="004A215A" w:rsidRPr="004A215A" w:rsidRDefault="00721D29" w:rsidP="00721D29">
      <w:pPr>
        <w:rPr>
          <w:lang w:val="en-CA"/>
        </w:rPr>
      </w:pPr>
      <w:r>
        <w:rPr>
          <w:b/>
          <w:bCs/>
          <w:lang w:val="en-CA"/>
        </w:rPr>
        <w:t>H3</w:t>
      </w:r>
      <w:r w:rsidR="004A215A" w:rsidRPr="004A215A">
        <w:rPr>
          <w:b/>
          <w:bCs/>
          <w:lang w:val="en-CA"/>
        </w:rPr>
        <w:t>:</w:t>
      </w:r>
      <w:r w:rsidR="004A215A" w:rsidRPr="004A215A">
        <w:rPr>
          <w:lang w:val="en-CA"/>
        </w:rPr>
        <w:t xml:space="preserve"> High HDI, education, and urbanization are associated with lower religiosity; low HDI may correlate with higher religiosity.</w:t>
      </w:r>
    </w:p>
    <w:p w14:paraId="7135E454" w14:textId="693C4F1F" w:rsidR="00721D29" w:rsidRPr="00721D29" w:rsidRDefault="00721D29" w:rsidP="00721D29">
      <w:pPr>
        <w:shd w:val="clear" w:color="auto" w:fill="E8E8E8" w:themeFill="background2"/>
        <w:rPr>
          <w:b/>
          <w:bCs/>
          <w:lang w:val="en-CA"/>
        </w:rPr>
      </w:pPr>
      <w:r w:rsidRPr="00721D29">
        <w:rPr>
          <w:b/>
          <w:bCs/>
          <w:lang w:val="en-CA"/>
        </w:rPr>
        <w:t>Objective</w:t>
      </w:r>
    </w:p>
    <w:p w14:paraId="7C7A1C2E" w14:textId="3445B4CD" w:rsidR="004A215A" w:rsidRPr="00721D29" w:rsidRDefault="00721D29" w:rsidP="00D72891">
      <w:pPr>
        <w:rPr>
          <w:lang w:val="en-CA"/>
        </w:rPr>
      </w:pPr>
      <w:r>
        <w:rPr>
          <w:lang w:val="en-CA"/>
        </w:rPr>
        <w:t>Our goal is to analyze those different factors to understand in which extent they can be related (or not) and</w:t>
      </w:r>
      <w:r w:rsidRPr="00721D29">
        <w:rPr>
          <w:lang w:val="en-CA"/>
        </w:rPr>
        <w:t xml:space="preserve"> to identify any patterns across regions and religious groups.</w:t>
      </w:r>
    </w:p>
    <w:p w14:paraId="0C4AE96F" w14:textId="77777777" w:rsidR="004A215A" w:rsidRDefault="004A215A" w:rsidP="00D72891">
      <w:pPr>
        <w:rPr>
          <w:lang w:val="en-CA"/>
        </w:rPr>
      </w:pPr>
    </w:p>
    <w:p w14:paraId="5BC74038" w14:textId="40FE118A" w:rsidR="00935A71" w:rsidRPr="00935A71" w:rsidRDefault="004A215A" w:rsidP="00935A71">
      <w:pPr>
        <w:shd w:val="clear" w:color="auto" w:fill="E8E8E8" w:themeFill="background2"/>
        <w:rPr>
          <w:b/>
          <w:bCs/>
          <w:lang w:val="en-CA"/>
        </w:rPr>
      </w:pPr>
      <w:r w:rsidRPr="00935A71">
        <w:rPr>
          <w:b/>
          <w:bCs/>
          <w:lang w:val="en-CA"/>
        </w:rPr>
        <w:lastRenderedPageBreak/>
        <w:t>Result (to update</w:t>
      </w:r>
      <w:r w:rsidR="00721D29" w:rsidRPr="00935A71">
        <w:rPr>
          <w:b/>
          <w:bCs/>
          <w:lang w:val="en-CA"/>
        </w:rPr>
        <w:t xml:space="preserve"> with our key findings, improvements and </w:t>
      </w:r>
      <w:r w:rsidR="00935A71" w:rsidRPr="00935A71">
        <w:rPr>
          <w:b/>
          <w:bCs/>
          <w:lang w:val="en-CA"/>
        </w:rPr>
        <w:t>biases</w:t>
      </w:r>
      <w:r w:rsidRPr="00935A71">
        <w:rPr>
          <w:b/>
          <w:bCs/>
          <w:lang w:val="en-CA"/>
        </w:rPr>
        <w:t>)</w:t>
      </w:r>
    </w:p>
    <w:p w14:paraId="3BD0029C" w14:textId="05F794F7" w:rsidR="00721D29" w:rsidRPr="00721D29" w:rsidRDefault="00F86C0F" w:rsidP="00721D29">
      <w:pPr>
        <w:rPr>
          <w:lang w:val="en-CA"/>
        </w:rPr>
      </w:pPr>
      <w:r w:rsidRPr="00F86C0F">
        <w:rPr>
          <w:lang w:val="en-CA"/>
        </w:rPr>
        <w:t>The evolution of religiosity in a country depends on a combination of social and economic instability, exposure to conflicts, and the level of human development, with sometimes opposite effects depending on cultural and historical context</w:t>
      </w:r>
      <w:r w:rsidR="00721D29">
        <w:rPr>
          <w:lang w:val="en-CA"/>
        </w:rPr>
        <w:t xml:space="preserve"> </w:t>
      </w:r>
    </w:p>
    <w:p w14:paraId="63312AAC" w14:textId="248D647C" w:rsidR="004E18D8" w:rsidRPr="00881273" w:rsidRDefault="005E40EE" w:rsidP="00935A71">
      <w:pPr>
        <w:shd w:val="clear" w:color="auto" w:fill="E8E8E8" w:themeFill="background2"/>
        <w:rPr>
          <w:b/>
          <w:bCs/>
          <w:lang w:val="en-CA"/>
        </w:rPr>
      </w:pPr>
      <w:r w:rsidRPr="00881273">
        <w:rPr>
          <w:b/>
          <w:bCs/>
          <w:lang w:val="en-CA"/>
        </w:rPr>
        <w:t xml:space="preserve">Sources:  for each, </w:t>
      </w:r>
      <w:r w:rsidR="00881273" w:rsidRPr="00881273">
        <w:rPr>
          <w:b/>
          <w:bCs/>
          <w:lang w:val="en-CA"/>
        </w:rPr>
        <w:t>o</w:t>
      </w:r>
      <w:r w:rsidRPr="00881273">
        <w:rPr>
          <w:b/>
          <w:bCs/>
          <w:lang w:val="en-CA"/>
        </w:rPr>
        <w:t>ne sentence</w:t>
      </w:r>
    </w:p>
    <w:p w14:paraId="231ECC59" w14:textId="1207BABA" w:rsidR="005760A2" w:rsidRPr="00F71EE0" w:rsidRDefault="005760A2" w:rsidP="005760A2">
      <w:pPr>
        <w:rPr>
          <w:color w:val="808080" w:themeColor="background1" w:themeShade="80"/>
          <w:lang w:val="en-CA"/>
        </w:rPr>
      </w:pPr>
      <w:r w:rsidRPr="00F71EE0">
        <w:rPr>
          <w:color w:val="808080" w:themeColor="background1" w:themeShade="80"/>
          <w:lang w:val="en-CA"/>
        </w:rPr>
        <w:t>human development index (HDI) for 193 countries from 1990-2022. The data is sourced from the United Nations Development Programme (UNDP)</w:t>
      </w:r>
    </w:p>
    <w:p w14:paraId="1B7FFB71" w14:textId="4527D526" w:rsidR="005760A2" w:rsidRPr="00F71EE0" w:rsidRDefault="005760A2" w:rsidP="005760A2">
      <w:pPr>
        <w:rPr>
          <w:color w:val="808080" w:themeColor="background1" w:themeShade="80"/>
          <w:lang w:val="en-CA"/>
        </w:rPr>
      </w:pPr>
      <w:r w:rsidRPr="00F71EE0">
        <w:rPr>
          <w:color w:val="808080" w:themeColor="background1" w:themeShade="80"/>
          <w:lang w:val="en-CA"/>
        </w:rPr>
        <w:t>the gdp per capita between 1960_202? Per country and year, world bank and undp</w:t>
      </w:r>
    </w:p>
    <w:p w14:paraId="4F536DF4" w14:textId="58B2BA82" w:rsidR="00F71EE0" w:rsidRPr="00F71EE0" w:rsidRDefault="00F71EE0" w:rsidP="005760A2">
      <w:pPr>
        <w:rPr>
          <w:color w:val="808080" w:themeColor="background1" w:themeShade="80"/>
          <w:lang w:val="en-CA"/>
        </w:rPr>
      </w:pPr>
      <w:r w:rsidRPr="00F71EE0">
        <w:rPr>
          <w:color w:val="808080" w:themeColor="background1" w:themeShade="80"/>
          <w:lang w:val="en-CA"/>
        </w:rPr>
        <w:t>Population per country</w:t>
      </w:r>
    </w:p>
    <w:p w14:paraId="30206ED0" w14:textId="1F7A1CC1" w:rsidR="000A29BF" w:rsidRDefault="000A29BF" w:rsidP="005760A2">
      <w:pPr>
        <w:rPr>
          <w:lang w:val="en-CA"/>
        </w:rPr>
      </w:pPr>
      <w:r>
        <w:rPr>
          <w:lang w:val="en-CA"/>
        </w:rPr>
        <w:t>UN official list of Countries, Regions and Subregions</w:t>
      </w:r>
    </w:p>
    <w:p w14:paraId="71856E2E" w14:textId="59B0124E" w:rsidR="00881273" w:rsidRDefault="00881273" w:rsidP="00881273">
      <w:pPr>
        <w:rPr>
          <w:lang w:val="en-CA"/>
        </w:rPr>
      </w:pPr>
      <w:r>
        <w:rPr>
          <w:lang w:val="en-CA"/>
        </w:rPr>
        <w:t>R</w:t>
      </w:r>
      <w:r w:rsidRPr="005760A2">
        <w:rPr>
          <w:lang w:val="en-CA"/>
        </w:rPr>
        <w:t xml:space="preserve">eligions per </w:t>
      </w:r>
      <w:r>
        <w:rPr>
          <w:lang w:val="en-CA"/>
        </w:rPr>
        <w:t xml:space="preserve">country, year between 1945 </w:t>
      </w:r>
      <w:r w:rsidR="00434C56">
        <w:rPr>
          <w:lang w:val="en-CA"/>
        </w:rPr>
        <w:t>–</w:t>
      </w:r>
      <w:r>
        <w:rPr>
          <w:lang w:val="en-CA"/>
        </w:rPr>
        <w:t xml:space="preserve"> </w:t>
      </w:r>
      <w:r w:rsidR="004C4110">
        <w:rPr>
          <w:lang w:val="en-CA"/>
        </w:rPr>
        <w:t>2010, by</w:t>
      </w:r>
      <w:r>
        <w:rPr>
          <w:lang w:val="en-CA"/>
        </w:rPr>
        <w:t xml:space="preserve"> step of 5 years from Kaggle, dataworld</w:t>
      </w:r>
      <w:r>
        <w:rPr>
          <w:lang w:val="en-CA"/>
        </w:rPr>
        <w:t xml:space="preserve">. Number of religious people per country per year per religion. </w:t>
      </w:r>
    </w:p>
    <w:p w14:paraId="1AB62DE3" w14:textId="1D939151" w:rsidR="005E40EE" w:rsidRDefault="005E40EE" w:rsidP="005760A2">
      <w:pPr>
        <w:rPr>
          <w:lang w:val="en-CA"/>
        </w:rPr>
      </w:pPr>
      <w:r w:rsidRPr="005E40EE">
        <w:rPr>
          <w:lang w:val="en-CA"/>
        </w:rPr>
        <w:t>Conflict Dataset</w:t>
      </w:r>
      <w:r w:rsidR="00881273">
        <w:rPr>
          <w:lang w:val="en-CA"/>
        </w:rPr>
        <w:t>s (1945_2005, 2006_2024)</w:t>
      </w:r>
      <w:r>
        <w:rPr>
          <w:lang w:val="en-CA"/>
        </w:rPr>
        <w:t xml:space="preserve">. </w:t>
      </w:r>
      <w:r w:rsidR="005760A2">
        <w:rPr>
          <w:lang w:val="en-CA"/>
        </w:rPr>
        <w:t xml:space="preserve"> </w:t>
      </w:r>
      <w:r w:rsidRPr="005E40EE">
        <w:rPr>
          <w:lang w:val="en-CA"/>
        </w:rPr>
        <w:t>The data come from two academic research institutions: UCDP at Uppsala University, Sweden, which compiles scientific data on armed conflicts, and PRIO, an independent Norwegian institute that adds geographic details to these conflicts.</w:t>
      </w:r>
      <w:r>
        <w:rPr>
          <w:lang w:val="en-CA"/>
        </w:rPr>
        <w:t xml:space="preserve"> </w:t>
      </w:r>
      <w:r w:rsidRPr="005E40EE">
        <w:rPr>
          <w:lang w:val="en-CA"/>
        </w:rPr>
        <w:t xml:space="preserve">A country is marked as “in conflict” </w:t>
      </w:r>
      <w:r w:rsidR="00B30CA3" w:rsidRPr="005E40EE">
        <w:rPr>
          <w:lang w:val="en-CA"/>
        </w:rPr>
        <w:t>each year</w:t>
      </w:r>
      <w:r w:rsidRPr="005E40EE">
        <w:rPr>
          <w:lang w:val="en-CA"/>
        </w:rPr>
        <w:t xml:space="preserve"> if at least one conflict event occurs within its borders and causes ≥25 battle-related deaths. The conflict can be local,</w:t>
      </w:r>
      <w:r>
        <w:rPr>
          <w:lang w:val="en-CA"/>
        </w:rPr>
        <w:t xml:space="preserve"> of any nature</w:t>
      </w:r>
      <w:r w:rsidRPr="005E40EE">
        <w:rPr>
          <w:lang w:val="en-CA"/>
        </w:rPr>
        <w:t xml:space="preserve"> and the country is considered active for that year.</w:t>
      </w:r>
      <w:r>
        <w:rPr>
          <w:lang w:val="en-CA"/>
        </w:rPr>
        <w:t xml:space="preserve"> However, due to location inaccuracy, some countries can be out of the counted ones, and the ones that might be involved without supporting attacks on their territory are not counted as well. Therefore, we can define also those countries are instable mainly.</w:t>
      </w:r>
    </w:p>
    <w:p w14:paraId="133A1AB9" w14:textId="52FED503" w:rsidR="005E40EE" w:rsidRDefault="00434C56" w:rsidP="005760A2">
      <w:pPr>
        <w:rPr>
          <w:lang w:val="en-CA"/>
        </w:rPr>
      </w:pPr>
      <w:r>
        <w:rPr>
          <w:lang w:val="en-CA"/>
        </w:rPr>
        <w:t>Scheme of the process (data cleaning, then merged dataset, then analysis and charts)</w:t>
      </w:r>
    </w:p>
    <w:p w14:paraId="21302ECC" w14:textId="7BF7DD27" w:rsidR="00434C56" w:rsidRPr="00930862" w:rsidRDefault="00030F16" w:rsidP="005760A2">
      <w:pPr>
        <w:rPr>
          <w:b/>
          <w:bCs/>
          <w:lang w:val="en-CA"/>
        </w:rPr>
      </w:pPr>
      <w:r w:rsidRPr="00930862">
        <w:rPr>
          <w:b/>
          <w:bCs/>
          <w:lang w:val="en-CA"/>
        </w:rPr>
        <w:t>Methodology:</w:t>
      </w:r>
    </w:p>
    <w:p w14:paraId="7455E4D8" w14:textId="1CC7B1AE" w:rsidR="00030F16" w:rsidRPr="005E40EE" w:rsidRDefault="00030F16" w:rsidP="005760A2">
      <w:pPr>
        <w:rPr>
          <w:lang w:val="en-CA"/>
        </w:rPr>
      </w:pPr>
      <w:r>
        <w:rPr>
          <w:lang w:val="en-CA"/>
        </w:rPr>
        <w:t>Bivariate analysis</w:t>
      </w:r>
      <w:r w:rsidR="005E3FA2">
        <w:rPr>
          <w:lang w:val="en-CA"/>
        </w:rPr>
        <w:t xml:space="preserve"> (each member </w:t>
      </w:r>
      <w:r w:rsidR="00930862">
        <w:rPr>
          <w:lang w:val="en-CA"/>
        </w:rPr>
        <w:t>analyses</w:t>
      </w:r>
      <w:r w:rsidR="005E3FA2">
        <w:rPr>
          <w:lang w:val="en-CA"/>
        </w:rPr>
        <w:t xml:space="preserve"> one variable with religion)</w:t>
      </w:r>
      <w:r>
        <w:rPr>
          <w:lang w:val="en-CA"/>
        </w:rPr>
        <w:t xml:space="preserve"> and discussions on </w:t>
      </w:r>
      <w:r w:rsidR="005E3FA2">
        <w:rPr>
          <w:lang w:val="en-CA"/>
        </w:rPr>
        <w:t xml:space="preserve">team members </w:t>
      </w:r>
      <w:r>
        <w:rPr>
          <w:lang w:val="en-CA"/>
        </w:rPr>
        <w:t>results</w:t>
      </w:r>
      <w:r w:rsidR="00F6409E">
        <w:rPr>
          <w:lang w:val="en-CA"/>
        </w:rPr>
        <w:t xml:space="preserve"> based on the </w:t>
      </w:r>
      <w:r w:rsidR="005E3FA2">
        <w:rPr>
          <w:lang w:val="en-CA"/>
        </w:rPr>
        <w:t>3</w:t>
      </w:r>
      <w:r w:rsidR="00F6409E">
        <w:rPr>
          <w:lang w:val="en-CA"/>
        </w:rPr>
        <w:t xml:space="preserve"> questions </w:t>
      </w:r>
    </w:p>
    <w:p w14:paraId="07BA49B2" w14:textId="77777777" w:rsidR="005E40EE" w:rsidRDefault="005E40EE" w:rsidP="005760A2">
      <w:pPr>
        <w:rPr>
          <w:lang w:val="en-CA"/>
        </w:rPr>
      </w:pPr>
    </w:p>
    <w:sectPr w:rsidR="005E40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5CDA"/>
    <w:multiLevelType w:val="multilevel"/>
    <w:tmpl w:val="B7746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913245"/>
    <w:multiLevelType w:val="multilevel"/>
    <w:tmpl w:val="6C383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9401E7"/>
    <w:multiLevelType w:val="hybridMultilevel"/>
    <w:tmpl w:val="61DE1B7A"/>
    <w:lvl w:ilvl="0" w:tplc="9004531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253DC0"/>
    <w:multiLevelType w:val="multilevel"/>
    <w:tmpl w:val="6ABA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C1CB2"/>
    <w:multiLevelType w:val="multilevel"/>
    <w:tmpl w:val="34DC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2293A"/>
    <w:multiLevelType w:val="multilevel"/>
    <w:tmpl w:val="AE903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09241">
    <w:abstractNumId w:val="5"/>
  </w:num>
  <w:num w:numId="2" w16cid:durableId="1839929150">
    <w:abstractNumId w:val="4"/>
  </w:num>
  <w:num w:numId="3" w16cid:durableId="1738672311">
    <w:abstractNumId w:val="0"/>
  </w:num>
  <w:num w:numId="4" w16cid:durableId="459301699">
    <w:abstractNumId w:val="3"/>
  </w:num>
  <w:num w:numId="5" w16cid:durableId="73822971">
    <w:abstractNumId w:val="1"/>
  </w:num>
  <w:num w:numId="6" w16cid:durableId="168372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A2"/>
    <w:rsid w:val="00030F16"/>
    <w:rsid w:val="000A29BF"/>
    <w:rsid w:val="0035069A"/>
    <w:rsid w:val="00434C56"/>
    <w:rsid w:val="004A215A"/>
    <w:rsid w:val="004C4110"/>
    <w:rsid w:val="004E18D8"/>
    <w:rsid w:val="005661A8"/>
    <w:rsid w:val="005760A2"/>
    <w:rsid w:val="005E3FA2"/>
    <w:rsid w:val="005E40EE"/>
    <w:rsid w:val="00721D29"/>
    <w:rsid w:val="00862F10"/>
    <w:rsid w:val="00881273"/>
    <w:rsid w:val="00930862"/>
    <w:rsid w:val="00935A71"/>
    <w:rsid w:val="00B30CA3"/>
    <w:rsid w:val="00BA22E2"/>
    <w:rsid w:val="00C21AB4"/>
    <w:rsid w:val="00D72891"/>
    <w:rsid w:val="00F6409E"/>
    <w:rsid w:val="00F71EE0"/>
    <w:rsid w:val="00F86C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FC16"/>
  <w15:chartTrackingRefBased/>
  <w15:docId w15:val="{AE6D9486-5AFE-4A78-A85B-02E6E8B8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6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76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60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60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60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60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60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60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60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60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760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60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60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60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60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60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60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60A2"/>
    <w:rPr>
      <w:rFonts w:eastAsiaTheme="majorEastAsia" w:cstheme="majorBidi"/>
      <w:color w:val="272727" w:themeColor="text1" w:themeTint="D8"/>
    </w:rPr>
  </w:style>
  <w:style w:type="paragraph" w:styleId="Titre">
    <w:name w:val="Title"/>
    <w:basedOn w:val="Normal"/>
    <w:next w:val="Normal"/>
    <w:link w:val="TitreCar"/>
    <w:uiPriority w:val="10"/>
    <w:qFormat/>
    <w:rsid w:val="00576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60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60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60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60A2"/>
    <w:pPr>
      <w:spacing w:before="160"/>
      <w:jc w:val="center"/>
    </w:pPr>
    <w:rPr>
      <w:i/>
      <w:iCs/>
      <w:color w:val="404040" w:themeColor="text1" w:themeTint="BF"/>
    </w:rPr>
  </w:style>
  <w:style w:type="character" w:customStyle="1" w:styleId="CitationCar">
    <w:name w:val="Citation Car"/>
    <w:basedOn w:val="Policepardfaut"/>
    <w:link w:val="Citation"/>
    <w:uiPriority w:val="29"/>
    <w:rsid w:val="005760A2"/>
    <w:rPr>
      <w:i/>
      <w:iCs/>
      <w:color w:val="404040" w:themeColor="text1" w:themeTint="BF"/>
    </w:rPr>
  </w:style>
  <w:style w:type="paragraph" w:styleId="Paragraphedeliste">
    <w:name w:val="List Paragraph"/>
    <w:basedOn w:val="Normal"/>
    <w:uiPriority w:val="34"/>
    <w:qFormat/>
    <w:rsid w:val="005760A2"/>
    <w:pPr>
      <w:ind w:left="720"/>
      <w:contextualSpacing/>
    </w:pPr>
  </w:style>
  <w:style w:type="character" w:styleId="Accentuationintense">
    <w:name w:val="Intense Emphasis"/>
    <w:basedOn w:val="Policepardfaut"/>
    <w:uiPriority w:val="21"/>
    <w:qFormat/>
    <w:rsid w:val="005760A2"/>
    <w:rPr>
      <w:i/>
      <w:iCs/>
      <w:color w:val="0F4761" w:themeColor="accent1" w:themeShade="BF"/>
    </w:rPr>
  </w:style>
  <w:style w:type="paragraph" w:styleId="Citationintense">
    <w:name w:val="Intense Quote"/>
    <w:basedOn w:val="Normal"/>
    <w:next w:val="Normal"/>
    <w:link w:val="CitationintenseCar"/>
    <w:uiPriority w:val="30"/>
    <w:qFormat/>
    <w:rsid w:val="00576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60A2"/>
    <w:rPr>
      <w:i/>
      <w:iCs/>
      <w:color w:val="0F4761" w:themeColor="accent1" w:themeShade="BF"/>
    </w:rPr>
  </w:style>
  <w:style w:type="character" w:styleId="Rfrenceintense">
    <w:name w:val="Intense Reference"/>
    <w:basedOn w:val="Policepardfaut"/>
    <w:uiPriority w:val="32"/>
    <w:qFormat/>
    <w:rsid w:val="005760A2"/>
    <w:rPr>
      <w:b/>
      <w:bCs/>
      <w:smallCaps/>
      <w:color w:val="0F4761" w:themeColor="accent1" w:themeShade="BF"/>
      <w:spacing w:val="5"/>
    </w:rPr>
  </w:style>
  <w:style w:type="character" w:styleId="Lienhypertexte">
    <w:name w:val="Hyperlink"/>
    <w:basedOn w:val="Policepardfaut"/>
    <w:uiPriority w:val="99"/>
    <w:unhideWhenUsed/>
    <w:rsid w:val="005760A2"/>
    <w:rPr>
      <w:color w:val="467886" w:themeColor="hyperlink"/>
      <w:u w:val="single"/>
    </w:rPr>
  </w:style>
  <w:style w:type="character" w:styleId="Mentionnonrsolue">
    <w:name w:val="Unresolved Mention"/>
    <w:basedOn w:val="Policepardfaut"/>
    <w:uiPriority w:val="99"/>
    <w:semiHidden/>
    <w:unhideWhenUsed/>
    <w:rsid w:val="00576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620</Words>
  <Characters>3405</Characters>
  <Application>Microsoft Office Word</Application>
  <DocSecurity>0</DocSecurity>
  <Lines>69</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leschallier de lisle</dc:creator>
  <cp:keywords/>
  <dc:description/>
  <cp:lastModifiedBy>anne leschallier de lisle</cp:lastModifiedBy>
  <cp:revision>5</cp:revision>
  <dcterms:created xsi:type="dcterms:W3CDTF">2026-03-11T17:25:00Z</dcterms:created>
  <dcterms:modified xsi:type="dcterms:W3CDTF">2026-03-11T18:43:00Z</dcterms:modified>
</cp:coreProperties>
</file>