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Dashboard Audit</w:t>
      </w:r>
    </w:p>
    <w:p>
      <w:pPr>
        <w:spacing w:after="120" w:line="276"/>
      </w:pPr>
      <w:r>
        <w:rPr>
          <w:b/>
          <w:bCs/>
        </w:rPr>
        <w:t xml:space="preserve">Live site:</w:t>
      </w:r>
      <w:r>
        <w:t xml:space="preserve"> </w:t>
      </w:r>
      <w:hyperlink w:history="1" r:id="rIdhqa0x6hzswa7wae0yivd-">
        <w:r>
          <w:rPr>
            <w:rStyle w:val="Hyperlink"/>
            <w:color w:val="1D4F91"/>
            <w:u w:val="single"/>
          </w:rPr>
          <w:t xml:space="preserve">nwgsgrid.com</w:t>
        </w:r>
      </w:hyperlink>
      <w:r>
        <w:t xml:space="preserve"> · </w:t>
      </w:r>
      <w:r>
        <w:rPr>
          <w:b/>
          <w:bCs/>
        </w:rPr>
        <w:t xml:space="preserve">Repository:</w:t>
      </w:r>
      <w:r>
        <w:t xml:space="preserve"> </w:t>
      </w:r>
      <w:hyperlink w:history="1" r:id="rIdz3700ymm_7m4qcbstugd8">
        <w:r>
          <w:rPr>
            <w:rStyle w:val="Hyperlink"/>
            <w:color w:val="1D4F91"/>
            <w:u w:val="single"/>
          </w:rPr>
          <w:t xml:space="preserve">github.com/victorialovefranklin/nwgs-grid-site</w:t>
        </w:r>
      </w:hyperlink>
    </w:p>
    <w:p>
      <w:pPr>
        <w:spacing w:after="120" w:line="276"/>
      </w:pPr>
      <w:r>
        <w:rPr>
          <w:b/>
          <w:bCs/>
        </w:rPr>
        <w:t xml:space="preserve">Run:</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Validation gate:</w:t>
      </w:r>
      <w:r>
        <w:t xml:space="preserve"> PASS_WITH_WARNINGS</w:t>
      </w:r>
    </w:p>
    <w:p>
      <w:pPr>
        <w:spacing w:after="120" w:line="276"/>
      </w:pPr>
      <w:r>
        <w:rPr>
          <w:b/>
          <w:bCs/>
        </w:rPr>
        <w:t xml:space="preserve">Sources pulled:</w:t>
      </w:r>
      <w:r>
        <w:t xml:space="preserve"> 2026-10-09T15:09:18+00:00</w:t>
      </w:r>
    </w:p>
    <w:p>
      <w:pPr>
        <w:spacing w:after="120" w:line="276"/>
      </w:pPr>
      <w:r>
        <w:rPr>
          <w:b/>
          <w:bCs/>
        </w:rPr>
        <w:t xml:space="preserve">Document generated:</w:t>
      </w:r>
      <w:r>
        <w:t xml:space="preserve"> 2026-10-16 17:33 UTC</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scripts/build_audit_doc.py</w:t>
      </w:r>
      <w:r>
        <w:t xml:space="preserve"> from the export for this run. Counts and identifiers are read from the data, not written by hand, so this document describes the run named above and no other.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Executive summary</w:t>
      </w:r>
    </w:p>
    <w:p>
      <w:pPr>
        <w:spacing w:after="120" w:line="276"/>
      </w:pPr>
      <w:r>
        <w:t xml:space="preserve">NWGS Grid is a static, weekly-rebuilt dashboard of wastewater surveillance for respiratory and emerging pathogens across U.S. counties. It reads published CDC data, standardizes each monitoring site against its own history, and publishes a frozen snapshot that is archived for citation.</w:t>
      </w:r>
    </w:p>
    <w:p>
      <w:pPr>
        <w:spacing w:after="120" w:line="276"/>
      </w:pPr>
      <w:r>
        <w:t xml:space="preserve">Every figure shown to a visitor is precomputed. No published number is produced by a live database query, which means any page can be reproduced exactly from the archived release for its run.</w:t>
      </w:r>
    </w:p>
    <w:p>
      <w:pPr>
        <w:spacing w:after="120" w:line="276"/>
      </w:pPr>
      <w:r>
        <w:rPr>
          <w:b/>
          <w:bCs/>
        </w:rPr>
        <w:t xml:space="preserve">This run contains: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Item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Count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Pathogens tracked</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County-pathogen activity rows</w:t>
            </w:r>
          </w:p>
        </w:tc>
        <w:tc>
          <w:tcPr>
            <w:tcW w:type="dxa" w:w="6178"/>
            <w:tcMar>
              <w:top w:type="dxa" w:w="60"/>
              <w:left w:type="dxa" w:w="108"/>
              <w:bottom w:type="dxa" w:w="60"/>
              <w:right w:type="dxa" w:w="108"/>
            </w:tcMar>
          </w:tcPr>
          <w:p>
            <w:pPr>
              <w:spacing w:after="0" w:line="240"/>
            </w:pPr>
            <w:r>
              <w:rPr>
                <w:sz w:val="18"/>
                <w:szCs w:val="18"/>
              </w:rPr>
              <w:t xml:space="preserve">2,331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County coverage rows</w:t>
            </w:r>
          </w:p>
        </w:tc>
        <w:tc>
          <w:tcPr>
            <w:tcW w:type="dxa" w:w="6178"/>
            <w:tcMar>
              <w:top w:type="dxa" w:w="60"/>
              <w:left w:type="dxa" w:w="108"/>
              <w:bottom w:type="dxa" w:w="60"/>
              <w:right w:type="dxa" w:w="108"/>
            </w:tcMar>
          </w:tcPr>
          <w:p>
            <w:pPr>
              <w:spacing w:after="0" w:line="240"/>
            </w:pPr>
            <w:r>
              <w:rPr>
                <w:sz w:val="18"/>
                <w:szCs w:val="18"/>
              </w:rPr>
              <w:t xml:space="preserve">4,621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Upstream datasets</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Alerts generated</w:t>
            </w:r>
          </w:p>
        </w:tc>
        <w:tc>
          <w:tcPr>
            <w:tcW w:type="dxa" w:w="6178"/>
            <w:tcMar>
              <w:top w:type="dxa" w:w="60"/>
              <w:left w:type="dxa" w:w="108"/>
              <w:bottom w:type="dxa" w:w="60"/>
              <w:right w:type="dxa" w:w="108"/>
            </w:tcMar>
          </w:tcPr>
          <w:p>
            <w:pPr>
              <w:spacing w:after="0" w:line="240"/>
            </w:pPr>
            <w:r>
              <w:rPr>
                <w:sz w:val="18"/>
                <w:szCs w:val="18"/>
              </w:rPr>
              <w:t xml:space="preserve">29</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Validation / audit entries</w:t>
            </w:r>
          </w:p>
        </w:tc>
        <w:tc>
          <w:tcPr>
            <w:tcW w:type="dxa" w:w="6178"/>
            <w:tcMar>
              <w:top w:type="dxa" w:w="60"/>
              <w:left w:type="dxa" w:w="108"/>
              <w:bottom w:type="dxa" w:w="60"/>
              <w:right w:type="dxa" w:w="108"/>
            </w:tcMar>
          </w:tcPr>
          <w:p>
            <w:pPr>
              <w:spacing w:after="0" w:line="240"/>
            </w:pPr>
            <w:r>
              <w:rPr>
                <w:sz w:val="18"/>
                <w:szCs w:val="18"/>
              </w:rPr>
              <w:t xml:space="preserve">37</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External source outcomes recorded</w:t>
            </w:r>
          </w:p>
        </w:tc>
        <w:tc>
          <w:tcPr>
            <w:tcW w:type="dxa" w:w="6178"/>
            <w:tcMar>
              <w:top w:type="dxa" w:w="60"/>
              <w:left w:type="dxa" w:w="108"/>
              <w:bottom w:type="dxa" w:w="60"/>
              <w:right w:type="dxa" w:w="108"/>
            </w:tcMar>
          </w:tcPr>
          <w:p>
            <w:pPr>
              <w:spacing w:after="0" w:line="240"/>
            </w:pPr>
            <w:r>
              <w:rPr>
                <w:sz w:val="18"/>
                <w:szCs w:val="18"/>
              </w:rPr>
              <w:t xml:space="preserve">not in this run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Purpose and scope</w:t>
      </w:r>
    </w:p>
    <w:p>
      <w:pPr>
        <w:spacing w:after="120" w:line="276"/>
      </w:pPr>
      <w:r>
        <w:rPr>
          <w:b/>
          <w:bCs/>
        </w:rPr>
        <w:t xml:space="preserve">Purpose.</w:t>
      </w:r>
      <w:r>
        <w:t xml:space="preserve"> Bring CDC's separately published wastewater, clinical and vulnerability data into one validated weekly pipeline, and show not only what is rising but who the surveillance system reaches and who it misses.</w:t>
      </w:r>
    </w:p>
    <w:p>
      <w:pPr>
        <w:spacing w:after="120" w:line="276"/>
      </w:pPr>
      <w:r>
        <w:rPr>
          <w:b/>
          <w:bCs/>
        </w:rPr>
        <w:t xml:space="preserve">In scope.</w:t>
      </w:r>
      <w:r>
        <w:t xml:space="preserve"> U.S. county and state level wastewater activity for routine respiratory pathogens; detection-based reporting for emerging pathogens; clinical alignment; spatial clustering; coverage and representativeness; reference protein structures with cited annotations.</w:t>
      </w:r>
    </w:p>
    <w:p>
      <w:pPr>
        <w:spacing w:after="120" w:line="276"/>
      </w:pPr>
      <w:r>
        <w:rPr>
          <w:b/>
          <w:bCs/>
        </w:rPr>
        <w:t xml:space="preserve">Out of scope.</w:t>
      </w:r>
      <w:r>
        <w:t xml:space="preserve"> Individual or household data. Case counts. Clinical diagnosis. Any claim about people not connected to a monitored sewer. Any number that cannot be traced to a published source.</w:t>
      </w:r>
    </w:p>
    <w:p>
      <w:pPr>
        <w:spacing w:after="120" w:line="276"/>
      </w:pPr>
      <w:r>
        <w:rPr>
          <w:b/>
          <w:bCs/>
        </w:rPr>
        <w:t xml:space="preserve">Audience.</w:t>
      </w:r>
      <w:r>
        <w:t xml:space="preserve"> Public health practitioners, researchers, journalists, elected officials and residents. The site is written for a reader with no background, with technical depth available on Methods and in the Glossary.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Technology stack</w:t>
      </w:r>
    </w:p>
    <w:p>
      <w:pPr>
        <w:spacing w:after="120" w:line="276"/>
      </w:pPr>
      <w:r>
        <w:t xml:space="preserve">Three languages, each doing one job.</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Python 3.11</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r>
              <w:rPr>
                <w:sz w:val="18"/>
                <w:szCs w:val="18"/>
              </w:rPr>
              <w:t xml:space="preserve">, </w:t>
            </w: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sz w:val="18"/>
                <w:szCs w:val="18"/>
              </w:rPr>
              <w:t xml:space="preserve">Data acquisition, all analysis, export, site build, alert mail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HTML / CSS / JavaScript</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3089"/>
            <w:tcMar>
              <w:top w:type="dxa" w:w="60"/>
              <w:left w:type="dxa" w:w="108"/>
              <w:bottom w:type="dxa" w:w="60"/>
              <w:right w:type="dxa" w:w="108"/>
            </w:tcMar>
          </w:tcPr>
          <w:p>
            <w:pPr>
              <w:spacing w:after="0" w:line="240"/>
            </w:pPr>
            <w:r>
              <w:rPr>
                <w:sz w:val="18"/>
                <w:szCs w:val="18"/>
              </w:rPr>
              <w:t xml:space="preserve">The entire front end, in one file with no framework and no build step</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SQL (PostgreSQL)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supabase/schema.sql</w:t>
            </w:r>
          </w:p>
        </w:tc>
        <w:tc>
          <w:tcPr>
            <w:tcW w:type="dxa" w:w="3089"/>
            <w:tcMar>
              <w:top w:type="dxa" w:w="60"/>
              <w:left w:type="dxa" w:w="108"/>
              <w:bottom w:type="dxa" w:w="60"/>
              <w:right w:type="dxa" w:w="108"/>
            </w:tcMar>
          </w:tcPr>
          <w:p>
            <w:pPr>
              <w:spacing w:after="0" w:line="240"/>
            </w:pPr>
            <w:r>
              <w:rPr>
                <w:sz w:val="18"/>
                <w:szCs w:val="18"/>
              </w:rPr>
              <w:t xml:space="preserve">Table definitions, row-level security and policies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YAML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Bash</w:t>
            </w:r>
          </w:p>
        </w:tc>
        <w:tc>
          <w:tcPr>
            <w:tcW w:type="dxa" w:w="3089"/>
            <w:tcMar>
              <w:top w:type="dxa" w:w="60"/>
              <w:left w:type="dxa" w:w="108"/>
              <w:bottom w:type="dxa" w:w="60"/>
              <w:right w:type="dxa" w:w="108"/>
            </w:tcMar>
          </w:tcPr>
          <w:p>
            <w:pPr>
              <w:spacing w:after="0" w:line="240"/>
            </w:pPr>
            <w:r>
              <w:rPr>
                <w:sz w:val="18"/>
                <w:szCs w:val="18"/>
              </w:rPr>
              <w:t xml:space="preserve">workflow </w:t>
            </w:r>
            <w:r>
              <w:rPr>
                <w:rFonts w:ascii="Consolas" w:cs="Consolas" w:eastAsia="Consolas" w:hAnsi="Consolas"/>
                <w:color w:val="6E1F2B"/>
                <w:sz w:val="18"/>
                <w:szCs w:val="18"/>
              </w:rPr>
              <w:t xml:space="preserve">run:</w:t>
            </w:r>
            <w:r>
              <w:rPr>
                <w:sz w:val="18"/>
                <w:szCs w:val="18"/>
              </w:rPr>
              <w:t xml:space="preserve"> steps</w:t>
            </w:r>
          </w:p>
        </w:tc>
        <w:tc>
          <w:tcPr>
            <w:tcW w:type="dxa" w:w="3089"/>
            <w:tcMar>
              <w:top w:type="dxa" w:w="60"/>
              <w:left w:type="dxa" w:w="108"/>
              <w:bottom w:type="dxa" w:w="60"/>
              <w:right w:type="dxa" w:w="108"/>
            </w:tcMar>
          </w:tcPr>
          <w:p>
            <w:pPr>
              <w:spacing w:after="0" w:line="240"/>
            </w:pPr>
            <w:r>
              <w:rPr>
                <w:sz w:val="18"/>
                <w:szCs w:val="18"/>
              </w:rPr>
              <w:t xml:space="preserve">Orchestration inside the runner</w:t>
            </w:r>
          </w:p>
        </w:tc>
      </w:tr>
    </w:tbl>
    <w:p>
      <w:pPr>
        <w:spacing w:after="160"/>
      </w:pPr>
    </w:p>
    <w:p>
      <w:pPr>
        <w:spacing w:after="120" w:line="276"/>
      </w:pPr>
      <w:r>
        <w:rPr>
          <w:b/>
          <w:bCs/>
        </w:rPr>
        <w:t xml:space="preserve">Python libraries</w:t>
      </w:r>
      <w:r>
        <w:t xml:space="preserve">, pinned in </w:t>
      </w:r>
      <w:r>
        <w:rPr>
          <w:rFonts w:ascii="Consolas" w:cs="Consolas" w:eastAsia="Consolas" w:hAnsi="Consolas"/>
          <w:color w:val="6E1F2B"/>
          <w:sz w:val="18"/>
          <w:szCs w:val="18"/>
        </w:rPr>
        <w:t xml:space="preserve">requirements.txt</w:t>
      </w:r>
      <w:r>
        <w:t xml:space="preserve"> and installed at the start of every run. The versions a run actually used are recorded in its archived log.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&gt;=2.2,&lt;3</w:t>
            </w:r>
          </w:p>
        </w:tc>
        <w:tc>
          <w:tcPr>
            <w:tcW w:type="dxa" w:w="3089"/>
            <w:tcMar>
              <w:top w:type="dxa" w:w="60"/>
              <w:left w:type="dxa" w:w="108"/>
              <w:bottom w:type="dxa" w:w="60"/>
              <w:right w:type="dxa" w:w="108"/>
            </w:tcMar>
          </w:tcPr>
          <w:p>
            <w:pPr>
              <w:spacing w:after="0" w:line="240"/>
            </w:pPr>
            <w:r>
              <w:rPr>
                <w:sz w:val="18"/>
                <w:szCs w:val="18"/>
              </w:rPr>
              <w:t xml:space="preserve">Every table in the pipeline; all tabular work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&gt;=1.26</w:t>
            </w:r>
          </w:p>
        </w:tc>
        <w:tc>
          <w:tcPr>
            <w:tcW w:type="dxa" w:w="3089"/>
            <w:tcMar>
              <w:top w:type="dxa" w:w="60"/>
              <w:left w:type="dxa" w:w="108"/>
              <w:bottom w:type="dxa" w:w="60"/>
              <w:right w:type="dxa" w:w="108"/>
            </w:tcMar>
          </w:tcPr>
          <w:p>
            <w:pPr>
              <w:spacing w:after="0" w:line="240"/>
            </w:pPr>
            <w:r>
              <w:rPr>
                <w:sz w:val="18"/>
                <w:szCs w:val="18"/>
              </w:rPr>
              <w:t xml:space="preserve">Numeric arrays underlying the standardization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HTTP for CDC Socrata, NCBI, RCSB, World Bank and JMP</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Spearman correlation and the statistical tests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binomial GLM for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held-out predictive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Feature attribution for those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Publication figures (headless, MPLBACKEND=Agg)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Figure post-processing and the portrait self-check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County geometry and spatial joins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Geometry operations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Reprojection to EPSG:5070 for the spatial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Fast reader for the TIGER/Line shapefile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six-nearest-neighbour spatial weights graph</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Global and local Moran's 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Columnar I/O</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Reads the WHO/UNICEF JMP workbook</w:t>
            </w:r>
          </w:p>
        </w:tc>
      </w:tr>
    </w:tbl>
    <w:p>
      <w:pPr>
        <w:spacing w:after="160"/>
      </w:pPr>
    </w:p>
    <w:p>
      <w:pPr>
        <w:spacing w:after="120" w:line="276"/>
      </w:pPr>
      <w:r>
        <w:t xml:space="preserve">There is no application framework, no bundler, no build step for the front end and no transpilation. </w:t>
      </w:r>
      <w:r>
        <w:rPr>
          <w:rFonts w:ascii="Consolas" w:cs="Consolas" w:eastAsia="Consolas" w:hAnsi="Consolas"/>
          <w:color w:val="6E1F2B"/>
          <w:sz w:val="18"/>
          <w:szCs w:val="18"/>
        </w:rPr>
        <w:t xml:space="preserve">build_site.py</w:t>
      </w:r>
      <w:r>
        <w:t xml:space="preserve"> performs a single substitution of one JSON payload into one HTML template. That is the whole front-end toolchain, and it is deliberate: a page with no build system can be opened, read and audited by anyone, and will still render in ten years.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Front end</w:t>
      </w:r>
    </w:p>
    <w:p>
      <w:pPr>
        <w:spacing w:after="120" w:line="276"/>
      </w:pPr>
      <w:r>
        <w:t xml:space="preserve">A single static HTML page. All views are rendered in the browser from one embedded JSON object produced at build time.</w:t>
      </w:r>
    </w:p>
    <w:p>
      <w:pPr>
        <w:pStyle w:val="Heading2"/>
        <w:spacing w:after="120" w:before="240"/>
      </w:pPr>
      <w:r>
        <w:rPr>
          <w:b/>
          <w:bCs/>
          <w:color w:val="6E1F2B"/>
          <w:sz w:val="24"/>
          <w:szCs w:val="24"/>
        </w:rPr>
        <w:t xml:space="preserve">4.1 Views (19)</w:t>
      </w:r>
    </w:p>
    <w:p>
      <w:pPr>
        <w:spacing w:after="120" w:line="276"/>
      </w:pPr>
      <w:r>
        <w:t xml:space="preserve">Read from </w:t>
      </w:r>
      <w:r>
        <w:rPr>
          <w:rFonts w:ascii="Consolas" w:cs="Consolas" w:eastAsia="Consolas" w:hAnsi="Consolas"/>
          <w:color w:val="6E1F2B"/>
          <w:sz w:val="18"/>
          <w:szCs w:val="18"/>
        </w:rPr>
        <w:t xml:space="preserve">site_src/template.html</w:t>
      </w:r>
      <w:r>
        <w:t xml:space="preserve">, in the order they appear in the navigation.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View</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Orientation: what wastewater surveillance is, its limits, and how to use the site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Current national level per pathogen, direction of travel, counties at High, emerging detection rates, latest alerts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County choropleth with selection, plus spatial clustering statistics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National trends, seasonal peaks, wastewater-to-clinical lag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Shedding lead, reporting lag and operational lead, decomposed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Held-out model benchmarks, SHAP attribution, archived forecast scoreboard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Where monitoring happens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Coverage against social vulnerability, county representativeness, site attrition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Country sanitation denominator and the observability ceiling it implies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State deep dive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 gene detections and NCBI genome records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protein structures, cited functional regions, assay-target panel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States and counties above the High threshold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Authenticated saved alert rules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Data &amp; reports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Per-run validation checks and data-source outcomes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Pipeline description, dataset list, full reference list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 on the site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licensing, feedback</w:t>
            </w:r>
          </w:p>
        </w:tc>
      </w:tr>
    </w:tbl>
    <w:p>
      <w:pPr>
        <w:spacing w:after="160"/>
      </w:pPr>
    </w:p>
    <w:p>
      <w:pPr>
        <w:pStyle w:val="Heading2"/>
        <w:spacing w:after="120" w:before="240"/>
      </w:pPr>
      <w:r>
        <w:rPr>
          <w:b/>
          <w:bCs/>
          <w:color w:val="6E1F2B"/>
          <w:sz w:val="24"/>
          <w:szCs w:val="24"/>
        </w:rPr>
        <w:t xml:space="preserve">4.2 Runtime dependencies</w:t>
      </w:r>
    </w:p>
    <w:p>
      <w:pPr>
        <w:spacing w:after="120" w:line="276"/>
      </w:pPr>
      <w:r>
        <w:t xml:space="preserve">These are the only things a visitor's browser fetches from outside the page. Versions are read from the template, not written here.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degrades gracefully if blocked</w:t>
            </w:r>
          </w:p>
        </w:tc>
      </w:tr>
    </w:tbl>
    <w:p>
      <w:pPr>
        <w:spacing w:after="160"/>
      </w:pPr>
    </w:p>
    <w:p>
      <w:pPr>
        <w:spacing w:after="120" w:line="276"/>
      </w:pPr>
      <w:r>
        <w:t xml:space="preserve">Everything else on the page is static. If all of the above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Back end</w:t>
      </w:r>
    </w:p>
    <w:p>
      <w:pPr>
        <w:pStyle w:val="Heading2"/>
        <w:spacing w:after="120" w:before="240"/>
      </w:pPr>
      <w:r>
        <w:rPr>
          <w:b/>
          <w:bCs/>
          <w:color w:val="6E1F2B"/>
          <w:sz w:val="24"/>
          <w:szCs w:val="24"/>
        </w:rPr>
        <w:t xml:space="preserve">5.1 Supabase — the only runtime backend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Operations 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Feature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delete, insert, select, update</w:t>
            </w:r>
          </w:p>
        </w:tc>
        <w:tc>
          <w:tcPr>
            <w:tcW w:type="dxa" w:w="3089"/>
            <w:tcMar>
              <w:top w:type="dxa" w:w="60"/>
              <w:left w:type="dxa" w:w="108"/>
              <w:bottom w:type="dxa" w:w="60"/>
              <w:right w:type="dxa" w:w="108"/>
            </w:tcMar>
          </w:tcPr>
          <w:p>
            <w:pPr>
              <w:spacing w:after="0" w:line="240"/>
            </w:pPr>
            <w:r>
              <w:rPr>
                <w:sz w:val="18"/>
                <w:szCs w:val="18"/>
              </w:rPr>
              <w:t xml:space="preserve">My 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License request form</w:t>
            </w:r>
          </w:p>
        </w:tc>
      </w:tr>
    </w:tbl>
    <w:p>
      <w:pPr>
        <w:spacing w:after="160"/>
      </w:pPr>
    </w:p>
    <w:p>
      <w:pPr>
        <w:spacing w:after="120" w:line="276"/>
      </w:pPr>
      <w:r>
        <w:t xml:space="preserve">Authentication is passwordless email (one-time link). No password is ever stored or transmitted. The browser receives only the </w:t>
      </w:r>
      <w:r>
        <w:rPr>
          <w:b/>
          <w:bCs/>
        </w:rPr>
        <w:t xml:space="preserve">publishable</w:t>
      </w:r>
      <w:r>
        <w:t xml:space="preserve"> key; the secret key exists solely as a repository secret used by the server-side mailer. Row-level security is enabled on every table and 7 policies restrict each row to the account that created it.</w:t>
      </w:r>
    </w:p>
    <w:p>
      <w:pPr>
        <w:spacing w:after="120" w:line="276"/>
      </w:pPr>
      <w:r>
        <w:t xml:space="preserve">6 tables are declared in </w:t>
      </w:r>
      <w:r>
        <w:rPr>
          <w:rFonts w:ascii="Consolas" w:cs="Consolas" w:eastAsia="Consolas" w:hAnsi="Consolas"/>
          <w:color w:val="6E1F2B"/>
          <w:sz w:val="18"/>
          <w:szCs w:val="18"/>
        </w:rPr>
        <w:t xml:space="preserve">supabase/schema.sql</w:t>
      </w:r>
      <w:r>
        <w:t xml:space="preserve">. The remaining </w:t>
      </w:r>
      <w:r>
        <w:rPr>
          <w:rFonts w:ascii="Consolas" w:cs="Consolas" w:eastAsia="Consolas" w:hAnsi="Consolas"/>
          <w:color w:val="6E1F2B"/>
          <w:sz w:val="18"/>
          <w:szCs w:val="18"/>
        </w:rPr>
        <w:t xml:space="preserve">profiles</w:t>
      </w:r>
      <w:r>
        <w:t xml:space="preserve">, </w:t>
      </w:r>
      <w:r>
        <w:rPr>
          <w:rFonts w:ascii="Consolas" w:cs="Consolas" w:eastAsia="Consolas" w:hAnsi="Consolas"/>
          <w:color w:val="6E1F2B"/>
          <w:sz w:val="18"/>
          <w:szCs w:val="18"/>
        </w:rPr>
        <w:t xml:space="preserve">pipeline_runs</w:t>
      </w:r>
      <w:r>
        <w:t xml:space="preserve">, </w:t>
      </w:r>
      <w:r>
        <w:rPr>
          <w:rFonts w:ascii="Consolas" w:cs="Consolas" w:eastAsia="Consolas" w:hAnsi="Consolas"/>
          <w:color w:val="6E1F2B"/>
          <w:sz w:val="18"/>
          <w:szCs w:val="18"/>
        </w:rPr>
        <w:t xml:space="preserve">alert_log</w:t>
      </w:r>
      <w:r>
        <w:t xml:space="preserve"> are never reachable from the browser; they are written only by the scheduled workflow.</w:t>
      </w:r>
    </w:p>
    <w:p>
      <w:pPr>
        <w:pStyle w:val="Heading2"/>
        <w:spacing w:after="120" w:before="240"/>
      </w:pPr>
      <w:r>
        <w:rPr>
          <w:b/>
          <w:bCs/>
          <w:color w:val="6E1F2B"/>
          <w:sz w:val="24"/>
          <w:szCs w:val="24"/>
        </w:rPr>
        <w:t xml:space="preserve">5.2 Weekly alert mail</w:t>
      </w:r>
    </w:p>
    <w:p>
      <w:pPr>
        <w:spacing w:after="120" w:line="276"/>
      </w:pPr>
      <w:r>
        <w:rPr>
          <w:rFonts w:ascii="Consolas" w:cs="Consolas" w:eastAsia="Consolas" w:hAnsi="Consolas"/>
          <w:color w:val="6E1F2B"/>
          <w:sz w:val="18"/>
          <w:szCs w:val="18"/>
        </w:rPr>
        <w:t xml:space="preserve">scripts/send_alerts.py</w:t>
      </w:r>
      <w:r>
        <w:t xml:space="preserve"> runs inside the scheduled workflow, reads saved rules with the secret key, matches them against the new run and sends email over SMTP. It never runs in a browser.</w:t>
      </w:r>
    </w:p>
    <w:p>
      <w:pPr>
        <w:pStyle w:val="Heading2"/>
        <w:spacing w:after="120" w:before="240"/>
      </w:pPr>
      <w:r>
        <w:rPr>
          <w:b/>
          <w:bCs/>
          <w:color w:val="6E1F2B"/>
          <w:sz w:val="24"/>
          <w:szCs w:val="24"/>
        </w:rPr>
        <w:t xml:space="preserve">5.3 Build and hosting</w:t>
      </w:r>
    </w:p>
    <w:p>
      <w:pPr>
        <w:spacing w:after="120" w:line="276"/>
      </w:pPr>
      <w:r>
        <w:t xml:space="preserve">The scheduled GitHub Actions workflow runs the pipeline, exports the app data, builds the site and publishes to GitHub Pages. section 6 describes that repository and its automation in full.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What GitHub holds, and what it does</w:t>
      </w:r>
    </w:p>
    <w:p>
      <w:pPr>
        <w:spacing w:after="120" w:line="276"/>
      </w:pPr>
      <w:r>
        <w:t xml:space="preserve">GitHub is not only where the code is stored. It is the build machine, the scheduler, the secret store, the archive and the web host. Everything below is read from the repository, so this section describes the repository as it stands, not as it was documented.</w:t>
      </w:r>
    </w:p>
    <w:p>
      <w:pPr>
        <w:pStyle w:val="Heading2"/>
        <w:spacing w:after="120" w:before="240"/>
      </w:pPr>
      <w:r>
        <w:rPr>
          <w:b/>
          <w:bCs/>
          <w:color w:val="6E1F2B"/>
          <w:sz w:val="24"/>
          <w:szCs w:val="24"/>
        </w:rPr>
        <w:t xml:space="preserve">6.1 What is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15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w:t>
            </w:r>
          </w:p>
        </w:tc>
        <w:tc>
          <w:tcPr>
            <w:tcW w:type="dxa" w:w="3089"/>
            <w:tcMar>
              <w:top w:type="dxa" w:w="60"/>
              <w:left w:type="dxa" w:w="108"/>
              <w:bottom w:type="dxa" w:w="60"/>
              <w:right w:type="dxa" w:w="108"/>
            </w:tcMar>
          </w:tcPr>
          <w:p>
            <w:pPr>
              <w:spacing w:after="0" w:line="240"/>
            </w:pPr>
            <w:r>
              <w:rPr>
                <w:sz w:val="18"/>
                <w:szCs w:val="18"/>
              </w:rPr>
              <w:t xml:space="preserve">4 files</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10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.gitattributes</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6.2.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11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6.2 What is deliberately </w:t>
      </w:r>
      <w:r>
        <w:rPr>
          <w:b/>
          <w:bCs/>
          <w:color w:val="6E1F2B"/>
          <w:sz w:val="24"/>
          <w:szCs w:val="24"/>
        </w:rPr>
        <w:t xml:space="preserve">not</w:t>
      </w:r>
      <w:r>
        <w:rPr>
          <w:b/>
          <w:bCs/>
          <w:color w:val="6E1F2B"/>
          <w:sz w:val="24"/>
          <w:szCs w:val="24"/>
        </w:rPr>
        <w:t xml:space="preserve">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!references/pdfs/.gitkeep</w:t>
            </w:r>
          </w:p>
        </w:tc>
        <w:tc>
          <w:tcPr>
            <w:tcW w:type="dxa" w:w="6178"/>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Build outputs are excluded on purpose. </w:t>
      </w:r>
      <w:r>
        <w:rPr>
          <w:rFonts w:ascii="Consolas" w:cs="Consolas" w:eastAsia="Consolas" w:hAnsi="Consolas"/>
          <w:color w:val="6E1F2B"/>
          <w:sz w:val="18"/>
          <w:szCs w:val="18"/>
        </w:rPr>
        <w:t xml:space="preserve">app_export/</w:t>
      </w:r>
      <w:r>
        <w:t xml:space="preserve"> and </w:t>
      </w:r>
      <w:r>
        <w:rPr>
          <w:rFonts w:ascii="Consolas" w:cs="Consolas" w:eastAsia="Consolas" w:hAnsi="Consolas"/>
          <w:color w:val="6E1F2B"/>
          <w:sz w:val="18"/>
          <w:szCs w:val="18"/>
        </w:rPr>
        <w:t xml:space="preserve">site/</w:t>
      </w:r>
      <w:r>
        <w:t xml:space="preserve"> are produced fresh by every run, so a copy committed by hand would be a second, unversioned source of truth. The one exception is the forecast ledger, which is committed back on purpose — see 6.4.</w:t>
      </w:r>
    </w:p>
    <w:p>
      <w:pPr>
        <w:pStyle w:val="Heading2"/>
        <w:spacing w:after="120" w:before="240"/>
      </w:pPr>
      <w:r>
        <w:rPr>
          <w:b/>
          <w:bCs/>
          <w:color w:val="6E1F2B"/>
          <w:sz w:val="24"/>
          <w:szCs w:val="24"/>
        </w:rPr>
        <w:t xml:space="preserve">6.3 The weekly workflow</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p>
      <w:pPr>
        <w:spacing w:after="120" w:line="276"/>
      </w:pPr>
      <w:r>
        <w:t xml:space="preserve">Each run starts on a clean Ubuntu machine that GitHub destroys afterward. Nothing survives a run except what is committed back, released, or deployed.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6.4.</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6.6.</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6.4 Why the forecast ledger is committed back</w:t>
      </w:r>
    </w:p>
    <w:p>
      <w:pPr>
        <w:spacing w:after="120" w:line="276"/>
      </w:pPr>
      <w:r>
        <w:t xml:space="preserve">A forecast written during a run would be destroyed with the machine that wrote it. The workflow therefore commits the updated ledger to the repository, tagged </w:t>
      </w:r>
      <w:r>
        <w:rPr>
          <w:rFonts w:ascii="Consolas" w:cs="Consolas" w:eastAsia="Consolas" w:hAnsi="Consolas"/>
          <w:color w:val="6E1F2B"/>
          <w:sz w:val="18"/>
          <w:szCs w:val="18"/>
        </w:rPr>
        <w:t xml:space="preserve">[skip ci]</w:t>
      </w:r>
      <w:r>
        <w:t xml:space="preserve"> so it does not retrigger the build. The value is not the file but the commit timestamp: git history is the evidence that each prediction was recorded </w:t>
      </w:r>
      <w:r>
        <w:rPr>
          <w:b/>
          <w:bCs/>
        </w:rPr>
        <w:t xml:space="preserve">before</w:t>
      </w:r>
      <w:r>
        <w:t xml:space="preserve"> the week it predicted. Without it the forecast scoreboard would be unfalsifiable.</w:t>
      </w:r>
    </w:p>
    <w:p>
      <w:pPr>
        <w:pStyle w:val="Heading2"/>
        <w:spacing w:after="120" w:before="240"/>
      </w:pPr>
      <w:r>
        <w:rPr>
          <w:b/>
          <w:bCs/>
          <w:color w:val="6E1F2B"/>
          <w:sz w:val="24"/>
          <w:szCs w:val="24"/>
        </w:rPr>
        <w:t xml:space="preserve">6.5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Style w:val="Heading2"/>
        <w:spacing w:after="120" w:before="240"/>
      </w:pPr>
      <w:r>
        <w:rPr>
          <w:b/>
          <w:bCs/>
          <w:color w:val="6E1F2B"/>
          <w:sz w:val="24"/>
          <w:szCs w:val="24"/>
        </w:rPr>
        <w:t xml:space="preserve">6.6 Releases — the citation layer</w:t>
      </w:r>
    </w:p>
    <w:p>
      <w:pPr>
        <w:spacing w:after="120" w:line="276"/>
      </w:pPr>
      <w:r>
        <w:t xml:space="preserve">Every successful run publishes a GitHub Release tagged </w:t>
      </w:r>
      <w:r>
        <w:rPr>
          <w:rFonts w:ascii="Consolas" w:cs="Consolas" w:eastAsia="Consolas" w:hAnsi="Consolas"/>
          <w:color w:val="6E1F2B"/>
          <w:sz w:val="18"/>
          <w:szCs w:val="18"/>
        </w:rPr>
        <w:t xml:space="preserve">&lt;run_id&gt;-r&lt;run_number&gt;</w:t>
      </w:r>
      <w:r>
        <w:t xml:space="preserve">, holding the tables, the figures, the app export, the manifest and the full pipeline log. CDC revises its datasets continuously, so a figure is only reproducible against the release it came from. The release notes carry the run ID, the data-through date, the gate status and the citation string.</w:t>
      </w:r>
    </w:p>
    <w:p>
      <w:pPr>
        <w:pStyle w:val="Heading2"/>
        <w:spacing w:after="120" w:before="240"/>
      </w:pPr>
      <w:r>
        <w:rPr>
          <w:b/>
          <w:bCs/>
          <w:color w:val="6E1F2B"/>
          <w:sz w:val="24"/>
          <w:szCs w:val="24"/>
        </w:rPr>
        <w:t xml:space="preserve">6.7 Pages — the public site</w:t>
      </w:r>
    </w:p>
    <w:p>
      <w:pPr>
        <w:spacing w:after="120" w:line="276"/>
      </w:pPr>
      <w:r>
        <w:t xml:space="preserve">The </w:t>
      </w:r>
      <w:r>
        <w:rPr>
          <w:rFonts w:ascii="Consolas" w:cs="Consolas" w:eastAsia="Consolas" w:hAnsi="Consolas"/>
          <w:color w:val="6E1F2B"/>
          <w:sz w:val="18"/>
          <w:szCs w:val="18"/>
        </w:rPr>
        <w:t xml:space="preserve">deploy</w:t>
      </w:r>
      <w:r>
        <w:t xml:space="preserve"> job publishes the built </w:t>
      </w:r>
      <w:r>
        <w:rPr>
          <w:rFonts w:ascii="Consolas" w:cs="Consolas" w:eastAsia="Consolas" w:hAnsi="Consolas"/>
          <w:color w:val="6E1F2B"/>
          <w:sz w:val="18"/>
          <w:szCs w:val="18"/>
        </w:rPr>
        <w:t xml:space="preserve">site/</w:t>
      </w:r>
      <w:r>
        <w:t xml:space="preserve"> folder to GitHub Pages. The site is static: HTML, one JSON payload and images. There is no server to run and nothing to query at page load.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What the pipeline collects</w:t>
      </w:r>
    </w:p>
    <w:p>
      <w:pPr>
        <w:pStyle w:val="Heading2"/>
        <w:spacing w:after="120" w:before="240"/>
      </w:pPr>
      <w:r>
        <w:rPr>
          <w:b/>
          <w:bCs/>
          <w:color w:val="6E1F2B"/>
          <w:sz w:val="24"/>
          <w:szCs w:val="24"/>
        </w:rPr>
        <w:t xml:space="preserve">7.1 Upstream datasets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304,506</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120,390</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302,244</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72,845</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All are public CDC datasets served from </w:t>
      </w:r>
      <w:r>
        <w:rPr>
          <w:rFonts w:ascii="Consolas" w:cs="Consolas" w:eastAsia="Consolas" w:hAnsi="Consolas"/>
          <w:color w:val="6E1F2B"/>
          <w:sz w:val="18"/>
          <w:szCs w:val="18"/>
        </w:rPr>
        <w:t xml:space="preserve">data.cdc.gov</w:t>
      </w:r>
      <w:r>
        <w:t xml:space="preserve">. Additional context data is pulled from the U.S. Census Bureau (county boundaries), CDC/ATSDR (Social Vulnerability Index), NCBI (virus genome records), RCSB PDB and UniProt (reference structures and annotations), and the World Bank (sanitation and income classification).</w:t>
      </w:r>
    </w:p>
    <w:p>
      <w:pPr>
        <w:pStyle w:val="Heading2"/>
        <w:spacing w:after="120" w:before="240"/>
      </w:pPr>
      <w:r>
        <w:rPr>
          <w:b/>
          <w:bCs/>
          <w:color w:val="6E1F2B"/>
          <w:sz w:val="24"/>
          <w:szCs w:val="24"/>
        </w:rPr>
        <w:t xml:space="preserve">7.2 External source outcomes for this run</w:t>
      </w:r>
    </w:p>
    <w:p>
      <w:pPr>
        <w:spacing w:after="120" w:line="276"/>
      </w:pPr>
      <w:r>
        <w:rPr>
          <w:i/>
          <w:iCs/>
        </w:rPr>
        <w:t xml:space="preserve">Source outcomes are recorded from the v5.22 pipeline onward; this run predates it or recorded none.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Pipeline structure</w:t>
      </w:r>
    </w:p>
    <w:p>
      <w:pPr>
        <w:spacing w:after="120" w:line="276"/>
      </w:pPr>
      <w:r>
        <w:rPr>
          <w:rFonts w:ascii="Consolas" w:cs="Consolas" w:eastAsia="Consolas" w:hAnsi="Consolas"/>
          <w:color w:val="6E1F2B"/>
          <w:sz w:val="18"/>
          <w:szCs w:val="18"/>
        </w:rPr>
        <w:t xml:space="preserve">pipeline/nwgs_pipeline.py</w:t>
      </w:r>
      <w:r>
        <w:t xml:space="preserve"> is a single module of about 8,773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 weather, air quality, census detail — are off unless explicitly enabled, so they cannot silently change a published figure.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9. Methods</w:t>
      </w:r>
    </w:p>
    <w:p>
      <w:pPr>
        <w:spacing w:after="120" w:line="276"/>
      </w:pPr>
      <w:r>
        <w:t xml:space="preserve">The pipeline runs these steps in order. Full prose description is on the Methods &amp; sources page of the site.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Acquisition</w:t>
            </w:r>
            <w:r>
              <w:t xml:space="preserve"> — datasets pulled from the Socrata API and frozen with row counts and the provider's own update timestamp.</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b/>
                <w:bCs/>
              </w:rPr>
              <w:t xml:space="preserve">Harmonization</w:t>
            </w:r>
            <w:r>
              <w:t xml:space="preserve"> — differing schemas mapped to common names through an explicit alias table; the mapping actually used is written out per pathogen. County identifiers normalized to five-digit FIPS.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Measurement selection</w:t>
            </w:r>
            <w:r>
              <w:t xml:space="preserve"> — where several concentration measures exist, one is chosen by a fixed hierarchy (fecal-normalized, then flow-population normalized, then raw) and the choice is recorded per row.</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rPr>
                <w:b/>
                <w:bCs/>
              </w:rPr>
              <w:t xml:space="preserve">Within-site standardization</w:t>
            </w:r>
            <w:r>
              <w:t xml:space="preserve"> — concentrations log-transformed and converted to a z-score within each site, grouped by laboratory method and sample matrix. County and national figures are medians of those standardized values.</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rPr>
                <w:b/>
                <w:bCs/>
              </w:rPr>
              <w:t xml:space="preserve">Quality control</w:t>
            </w:r>
            <w:r>
              <w:t xml:space="preserve"> — inhibition and no-template-control flags carried through; zero and negative concentrations treated as missing before log transformation; untested is never recorded as negative.</w:t>
            </w:r>
          </w:p>
        </w:tc>
      </w:tr>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rPr>
                <w:b/>
                <w:bCs/>
              </w:rPr>
              <w:t xml:space="preserve">Analysis</w:t>
            </w:r>
            <w:r>
              <w:t xml:space="preserve"> — Spearman cross-correlation with Benjamini-Hochberg correction for clinical alignment; global and local Moran's I on a six-nearest-neighbor graph in EPSG:5070 for clustering; binomial GLM for coverage; models evaluated only on unseen weeks.</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rPr>
                <w:b/>
                <w:bCs/>
              </w:rPr>
              <w:t xml:space="preserve">Validation gate</w:t>
            </w:r>
            <w:r>
              <w:t xml:space="preserve"> — automated checks across parsing, county counts, pathogen independence, spatial and model audits and cross-table consistency. A blocking failure stops publication and the previous week is kept;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in 9.3 and in the site's Audit log.</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rPr>
                <w:b/>
                <w:bCs/>
              </w:rPr>
              <w:t xml:space="preserve">Publication</w:t>
            </w:r>
            <w:r>
              <w:t xml:space="preserve"> — one static page from one export, archived as a release.</w:t>
            </w:r>
          </w:p>
        </w:tc>
      </w:tr>
    </w:tbl>
    <w:p>
      <w:pPr>
        <w:pStyle w:val="Heading2"/>
        <w:spacing w:after="120" w:before="240"/>
      </w:pPr>
      <w:r>
        <w:rPr>
          <w:b/>
          <w:bCs/>
          <w:color w:val="6E1F2B"/>
          <w:sz w:val="24"/>
          <w:szCs w:val="24"/>
        </w:rPr>
        <w:t xml:space="preserve">9.1 Activity levels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6178"/>
            <w:tcMar>
              <w:top w:type="dxa" w:w="60"/>
              <w:left w:type="dxa" w:w="108"/>
              <w:bottom w:type="dxa" w:w="60"/>
              <w:right w:type="dxa" w:w="108"/>
            </w:tcMar>
          </w:tcPr>
          <w:p>
            <w:pPr>
              <w:spacing w:after="0" w:line="240"/>
            </w:pPr>
            <w:r>
              <w:rPr>
                <w:sz w:val="18"/>
                <w:szCs w:val="18"/>
              </w:rPr>
              <w:t xml:space="preserve">z ≤ −1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Low</w:t>
            </w:r>
          </w:p>
        </w:tc>
        <w:tc>
          <w:tcPr>
            <w:tcW w:type="dxa" w:w="6178"/>
            <w:tcMar>
              <w:top w:type="dxa" w:w="60"/>
              <w:left w:type="dxa" w:w="108"/>
              <w:bottom w:type="dxa" w:w="60"/>
              <w:right w:type="dxa" w:w="108"/>
            </w:tcMar>
          </w:tcPr>
          <w:p>
            <w:pPr>
              <w:spacing w:after="0" w:line="240"/>
            </w:pPr>
            <w:r>
              <w:rPr>
                <w:sz w:val="18"/>
                <w:szCs w:val="18"/>
              </w:rPr>
              <w:t xml:space="preserve">−1 &lt; z ≤ −0.25</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6178"/>
            <w:tcMar>
              <w:top w:type="dxa" w:w="60"/>
              <w:left w:type="dxa" w:w="108"/>
              <w:bottom w:type="dxa" w:w="60"/>
              <w:right w:type="dxa" w:w="108"/>
            </w:tcMar>
          </w:tcPr>
          <w:p>
            <w:pPr>
              <w:spacing w:after="0" w:line="240"/>
            </w:pPr>
            <w:r>
              <w:rPr>
                <w:sz w:val="18"/>
                <w:szCs w:val="18"/>
              </w:rPr>
              <w:t xml:space="preserve">−0.25 &lt; z ≤ 0.25</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6178"/>
            <w:tcMar>
              <w:top w:type="dxa" w:w="60"/>
              <w:left w:type="dxa" w:w="108"/>
              <w:bottom w:type="dxa" w:w="60"/>
              <w:right w:type="dxa" w:w="108"/>
            </w:tcMar>
          </w:tcPr>
          <w:p>
            <w:pPr>
              <w:spacing w:after="0" w:line="240"/>
            </w:pPr>
            <w:r>
              <w:rPr>
                <w:sz w:val="18"/>
                <w:szCs w:val="18"/>
              </w:rPr>
              <w:t xml:space="preserve">0.25 &lt; z ≤ 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6178"/>
            <w:tcMar>
              <w:top w:type="dxa" w:w="60"/>
              <w:left w:type="dxa" w:w="108"/>
              <w:bottom w:type="dxa" w:w="60"/>
              <w:right w:type="dxa" w:w="108"/>
            </w:tcMar>
          </w:tcPr>
          <w:p>
            <w:pPr>
              <w:spacing w:after="0" w:line="240"/>
            </w:pPr>
            <w:r>
              <w:rPr>
                <w:sz w:val="18"/>
                <w:szCs w:val="18"/>
              </w:rPr>
              <w:t xml:space="preserve">z &gt; 1</w:t>
            </w:r>
          </w:p>
        </w:tc>
      </w:tr>
    </w:tbl>
    <w:p>
      <w:pPr>
        <w:spacing w:after="160"/>
      </w:pPr>
    </w:p>
    <w:p>
      <w:pPr>
        <w:spacing w:after="120" w:line="276"/>
      </w:pPr>
      <w:r>
        <w:t xml:space="preserve">Levels describe how unusual a reading is for that site, not how many people are infected. Two places at the same level are each unusual relative to themselves.</w:t>
      </w:r>
    </w:p>
    <w:p>
      <w:pPr>
        <w:pStyle w:val="Heading2"/>
        <w:spacing w:after="120" w:before="240"/>
      </w:pPr>
      <w:r>
        <w:rPr>
          <w:b/>
          <w:bCs/>
          <w:color w:val="6E1F2B"/>
          <w:sz w:val="24"/>
          <w:szCs w:val="24"/>
        </w:rPr>
        <w:t xml:space="preserve">9.2 What the pipeline does not do</w:t>
      </w:r>
    </w:p>
    <w:p>
      <w:pPr>
        <w:spacing w:after="120" w:line="276"/>
      </w:pPr>
      <w:r>
        <w:t xml:space="preserve">It does not infer or impute missing observations, estimate values for unmonitored counties, carry numbers over from a previous run, or adjust published figures after the fact. Where a source does not load, the affected panel says so and shows nothing.</w:t>
      </w:r>
    </w:p>
    <w:p>
      <w:pPr>
        <w:pStyle w:val="Heading2"/>
        <w:spacing w:after="120" w:before="240"/>
      </w:pPr>
      <w:r>
        <w:rPr>
          <w:b/>
          <w:bCs/>
          <w:color w:val="6E1F2B"/>
          <w:sz w:val="24"/>
          <w:szCs w:val="24"/>
        </w:rPr>
        <w:t xml:space="preserve">9.3 Gate result for this run</w:t>
      </w:r>
    </w:p>
    <w:p>
      <w:pPr>
        <w:spacing w:after="120" w:line="276"/>
      </w:pPr>
      <w:r>
        <w:t xml:space="preserve">Gate status </w:t>
      </w:r>
      <w:r>
        <w:rPr>
          <w:b/>
          <w:bCs/>
        </w:rPr>
        <w:t xml:space="preserve">PASS_WITH_WARNINGS</w:t>
      </w:r>
      <w:r>
        <w:t xml:space="preserve"> — 7 cross-table checks, 4 passed, 3 discrepant.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Check</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Expected</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Found</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Result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(SARS-CoV-2)</w:t>
            </w:r>
          </w:p>
        </w:tc>
        <w:tc>
          <w:tcPr>
            <w:tcW w:type="dxa" w:w="2308"/>
            <w:tcMar>
              <w:top w:type="dxa" w:w="60"/>
              <w:left w:type="dxa" w:w="108"/>
              <w:bottom w:type="dxa" w:w="60"/>
              <w:right w:type="dxa" w:w="108"/>
            </w:tcMar>
          </w:tcPr>
          <w:p>
            <w:pPr>
              <w:spacing w:after="0" w:line="240"/>
            </w:pPr>
            <w:r>
              <w:rPr>
                <w:sz w:val="18"/>
                <w:szCs w:val="18"/>
              </w:rPr>
              <w:t xml:space="preserve">813</w:t>
            </w:r>
          </w:p>
        </w:tc>
        <w:tc>
          <w:tcPr>
            <w:tcW w:type="dxa" w:w="2308"/>
            <w:tcMar>
              <w:top w:type="dxa" w:w="60"/>
              <w:left w:type="dxa" w:w="108"/>
              <w:bottom w:type="dxa" w:w="60"/>
              <w:right w:type="dxa" w:w="108"/>
            </w:tcMar>
          </w:tcPr>
          <w:p>
            <w:pPr>
              <w:spacing w:after="0" w:line="240"/>
            </w:pPr>
            <w:r>
              <w:rPr>
                <w:sz w:val="18"/>
                <w:szCs w:val="18"/>
              </w:rPr>
              <w:t xml:space="preserve">814</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(RSV)</w:t>
            </w:r>
          </w:p>
        </w:tc>
        <w:tc>
          <w:tcPr>
            <w:tcW w:type="dxa" w:w="2308"/>
            <w:tcMar>
              <w:top w:type="dxa" w:w="60"/>
              <w:left w:type="dxa" w:w="108"/>
              <w:bottom w:type="dxa" w:w="60"/>
              <w:right w:type="dxa" w:w="108"/>
            </w:tcMar>
          </w:tcPr>
          <w:p>
            <w:pPr>
              <w:spacing w:after="0" w:line="240"/>
            </w:pPr>
            <w:r>
              <w:rPr>
                <w:sz w:val="18"/>
                <w:szCs w:val="18"/>
              </w:rPr>
              <w:t xml:space="preserve">748</w:t>
            </w:r>
          </w:p>
        </w:tc>
        <w:tc>
          <w:tcPr>
            <w:tcW w:type="dxa" w:w="2308"/>
            <w:tcMar>
              <w:top w:type="dxa" w:w="60"/>
              <w:left w:type="dxa" w:w="108"/>
              <w:bottom w:type="dxa" w:w="60"/>
              <w:right w:type="dxa" w:w="108"/>
            </w:tcMar>
          </w:tcPr>
          <w:p>
            <w:pPr>
              <w:spacing w:after="0" w:line="240"/>
            </w:pPr>
            <w:r>
              <w:rPr>
                <w:sz w:val="18"/>
                <w:szCs w:val="18"/>
              </w:rPr>
              <w:t xml:space="preserve">749</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(Influenza A)</w:t>
            </w:r>
          </w:p>
        </w:tc>
        <w:tc>
          <w:tcPr>
            <w:tcW w:type="dxa" w:w="2308"/>
            <w:tcMar>
              <w:top w:type="dxa" w:w="60"/>
              <w:left w:type="dxa" w:w="108"/>
              <w:bottom w:type="dxa" w:w="60"/>
              <w:right w:type="dxa" w:w="108"/>
            </w:tcMar>
          </w:tcPr>
          <w:p>
            <w:pPr>
              <w:spacing w:after="0" w:line="240"/>
            </w:pPr>
            <w:r>
              <w:rPr>
                <w:sz w:val="18"/>
                <w:szCs w:val="18"/>
              </w:rPr>
              <w:t xml:space="preserve">766</w:t>
            </w:r>
          </w:p>
        </w:tc>
        <w:tc>
          <w:tcPr>
            <w:tcW w:type="dxa" w:w="2308"/>
            <w:tcMar>
              <w:top w:type="dxa" w:w="60"/>
              <w:left w:type="dxa" w:w="108"/>
              <w:bottom w:type="dxa" w:w="60"/>
              <w:right w:type="dxa" w:w="108"/>
            </w:tcMar>
          </w:tcPr>
          <w:p>
            <w:pPr>
              <w:spacing w:after="0" w:line="240"/>
            </w:pPr>
            <w:r>
              <w:rPr>
                <w:sz w:val="18"/>
                <w:szCs w:val="18"/>
              </w:rPr>
              <w:t xml:space="preserve">768</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Table08 LISA rows vs Table13</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Table04 best-lag rows vs Table13</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Table12f outlier rows vs Table13</w:t>
            </w:r>
          </w:p>
        </w:tc>
        <w:tc>
          <w:tcPr>
            <w:tcW w:type="dxa" w:w="2308"/>
            <w:tcMar>
              <w:top w:type="dxa" w:w="60"/>
              <w:left w:type="dxa" w:w="108"/>
              <w:bottom w:type="dxa" w:w="60"/>
              <w:right w:type="dxa" w:w="108"/>
            </w:tcMar>
          </w:tcPr>
          <w:p>
            <w:pPr>
              <w:spacing w:after="0" w:line="240"/>
            </w:pPr>
            <w:r>
              <w:rPr>
                <w:sz w:val="18"/>
                <w:szCs w:val="18"/>
              </w:rPr>
              <w:t xml:space="preserve">59</w:t>
            </w:r>
          </w:p>
        </w:tc>
        <w:tc>
          <w:tcPr>
            <w:tcW w:type="dxa" w:w="2308"/>
            <w:tcMar>
              <w:top w:type="dxa" w:w="60"/>
              <w:left w:type="dxa" w:w="108"/>
              <w:bottom w:type="dxa" w:w="60"/>
              <w:right w:type="dxa" w:w="108"/>
            </w:tcMar>
          </w:tcPr>
          <w:p>
            <w:pPr>
              <w:spacing w:after="0" w:line="240"/>
            </w:pPr>
            <w:r>
              <w:rPr>
                <w:sz w:val="18"/>
                <w:szCs w:val="18"/>
              </w:rPr>
              <w:t xml:space="preserve">59</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Table06b OR vs Table13</w:t>
            </w:r>
          </w:p>
        </w:tc>
        <w:tc>
          <w:tcPr>
            <w:tcW w:type="dxa" w:w="2308"/>
            <w:tcMar>
              <w:top w:type="dxa" w:w="60"/>
              <w:left w:type="dxa" w:w="108"/>
              <w:bottom w:type="dxa" w:w="60"/>
              <w:right w:type="dxa" w:w="108"/>
            </w:tcMar>
          </w:tcPr>
          <w:p>
            <w:pPr>
              <w:spacing w:after="0" w:line="240"/>
            </w:pPr>
            <w:r>
              <w:rPr>
                <w:sz w:val="18"/>
                <w:szCs w:val="18"/>
              </w:rPr>
              <w:t xml:space="preserve">0.893</w:t>
            </w:r>
          </w:p>
        </w:tc>
        <w:tc>
          <w:tcPr>
            <w:tcW w:type="dxa" w:w="2308"/>
            <w:tcMar>
              <w:top w:type="dxa" w:w="60"/>
              <w:left w:type="dxa" w:w="108"/>
              <w:bottom w:type="dxa" w:w="60"/>
              <w:right w:type="dxa" w:w="108"/>
            </w:tcMar>
          </w:tcPr>
          <w:p>
            <w:pPr>
              <w:spacing w:after="0" w:line="240"/>
            </w:pPr>
            <w:r>
              <w:rPr>
                <w:sz w:val="18"/>
                <w:szCs w:val="18"/>
              </w:rPr>
              <w:t xml:space="preserve">0.893</w:t>
            </w:r>
          </w:p>
        </w:tc>
        <w:tc>
          <w:tcPr>
            <w:tcW w:type="dxa" w:w="2310"/>
            <w:tcMar>
              <w:top w:type="dxa" w:w="60"/>
              <w:left w:type="dxa" w:w="108"/>
              <w:bottom w:type="dxa" w:w="60"/>
              <w:right w:type="dxa" w:w="108"/>
            </w:tcMar>
          </w:tcPr>
          <w:p>
            <w:pPr>
              <w:spacing w:after="0" w:line="240"/>
            </w:pPr>
            <w:r>
              <w:rPr>
                <w:sz w:val="18"/>
                <w:szCs w:val="18"/>
              </w:rPr>
              <w:t xml:space="preserve">pass</w:t>
            </w:r>
          </w:p>
        </w:tc>
      </w:tr>
    </w:tbl>
    <w:p>
      <w:pPr>
        <w:spacing w:after="160"/>
      </w:pPr>
    </w:p>
    <w:p>
      <w:pPr>
        <w:spacing w:after="120" w:line="276"/>
      </w:pPr>
      <w:r>
        <w:t xml:space="preserve">Discrepant rows are published because the difference is a count of counties between two tables built at different aggregation steps, not a change to any published value. They appear in the site's Audit log for the same run.</w:t>
      </w:r>
    </w:p>
    <w:p>
      <w:pPr>
        <w:spacing w:after="120" w:line="276"/>
      </w:pPr>
      <w:r>
        <w:rPr>
          <w:b/>
          <w:bCs/>
        </w:rPr>
        <w:t xml:space="preserve">Export payload SHA-256:</w:t>
      </w:r>
      <w:r>
        <w:t xml:space="preserve"> </w:t>
      </w:r>
      <w:r>
        <w:rPr>
          <w:rFonts w:ascii="Consolas" w:cs="Consolas" w:eastAsia="Consolas" w:hAnsi="Consolas"/>
          <w:color w:val="6E1F2B"/>
          <w:sz w:val="18"/>
          <w:szCs w:val="18"/>
        </w:rPr>
        <w:t xml:space="preserve">4f6557d0a88919c581d626f97dfbceb762ad9f10a515300ccafdb54e8f09ac9b</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10. Analytic layers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Layer</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What it provides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If empty, why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Lead-time decomposition</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Shedding lead, reporting lag, operational lead per state-pathogen</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Coverage attrition</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Per-site reporting lifespan and dormancy</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Sewer share and vulnerability gap per county</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Forecast scoreboard</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Frozen predictions scored after maturity</w:t>
            </w:r>
          </w:p>
        </w:tc>
        <w:tc>
          <w:tcPr>
            <w:tcW w:type="dxa" w:w="2310"/>
            <w:tcMar>
              <w:top w:type="dxa" w:w="60"/>
              <w:left w:type="dxa" w:w="108"/>
              <w:bottom w:type="dxa" w:w="60"/>
              <w:right w:type="dxa" w:w="108"/>
            </w:tcMar>
          </w:tcPr>
          <w:p>
            <w:pPr>
              <w:spacing w:after="0" w:line="240"/>
            </w:pPr>
            <w:r>
              <w:rPr>
                <w:sz w:val="18"/>
                <w:szCs w:val="18"/>
              </w:rPr>
              <w:t xml:space="preserve">Empty until the committed forecast ledger holds predictions old enough to score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Global coverage</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Country sanitation denominator and observability bound</w:t>
            </w:r>
          </w:p>
        </w:tc>
        <w:tc>
          <w:tcPr>
            <w:tcW w:type="dxa" w:w="2310"/>
            <w:tcMar>
              <w:top w:type="dxa" w:w="60"/>
              <w:left w:type="dxa" w:w="108"/>
              <w:bottom w:type="dxa" w:w="60"/>
              <w:right w:type="dxa" w:w="108"/>
            </w:tcMar>
          </w:tcPr>
          <w:p>
            <w:pPr>
              <w:spacing w:after="0" w:line="240"/>
            </w:pPr>
            <w:r>
              <w:rPr>
                <w:sz w:val="18"/>
                <w:szCs w:val="18"/>
              </w:rPr>
              <w:t xml:space="preserve">Requires the World Bank Indicators fetch; not present in this run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Assay-target panel</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Curated published target regions (citation required)</w:t>
            </w:r>
          </w:p>
        </w:tc>
        <w:tc>
          <w:tcPr>
            <w:tcW w:type="dxa" w:w="2310"/>
            <w:tcMar>
              <w:top w:type="dxa" w:w="60"/>
              <w:left w:type="dxa" w:w="108"/>
              <w:bottom w:type="dxa" w:w="60"/>
              <w:right w:type="dxa" w:w="108"/>
            </w:tcMar>
          </w:tcPr>
          <w:p>
            <w:pPr>
              <w:spacing w:after="0" w:line="240"/>
            </w:pPr>
            <w:r>
              <w:rPr>
                <w:sz w:val="18"/>
                <w:szCs w:val="18"/>
              </w:rPr>
              <w:t xml:space="preserve">Empty by design until a curated, citation-bearing target file is supplied; the pipeline refuses to invent coordinates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11. Citations and references</w:t>
      </w:r>
    </w:p>
    <w:p>
      <w:pPr>
        <w:spacing w:after="120" w:line="276"/>
      </w:pPr>
      <w:r>
        <w:t xml:space="preserve">Verified sources underpinning claims made on the site. Full list on the Methods &amp; sources page.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Work</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Mark-Carew M, et al. Progress and Expansion of the National Wastewater Surveillance System, United States, 2020–2024. </w:t>
            </w:r>
            <w:r>
              <w:rPr>
                <w:i/>
                <w:iCs/>
                <w:sz w:val="18"/>
                <w:szCs w:val="18"/>
              </w:rPr>
              <w:t xml:space="preserve">Emerg Infect Dis</w:t>
            </w:r>
            <w:r>
              <w:rPr>
                <w:sz w:val="18"/>
                <w:szCs w:val="18"/>
              </w:rPr>
              <w:t xml:space="preserve"> 2026;32(Suppl).</w:t>
            </w:r>
          </w:p>
        </w:tc>
        <w:tc>
          <w:tcPr>
            <w:tcW w:type="dxa" w:w="6178"/>
            <w:tcMar>
              <w:top w:type="dxa" w:w="60"/>
              <w:left w:type="dxa" w:w="108"/>
              <w:bottom w:type="dxa" w:w="60"/>
              <w:right w:type="dxa" w:w="108"/>
            </w:tcMar>
          </w:tcPr>
          <w:p>
            <w:pPr>
              <w:spacing w:after="0" w:line="240"/>
            </w:pPr>
            <w:r>
              <w:rPr>
                <w:sz w:val="18"/>
                <w:szCs w:val="18"/>
              </w:rPr>
              <w:t xml:space="preserve">https://wwwnc.cdc.gov/eid/article/32/13/26-1118_article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Alkhouri NB, Fisher V, Abuelezam NN. Equity in Wastewater Surveillance. </w:t>
            </w:r>
            <w:r>
              <w:rPr>
                <w:i/>
                <w:iCs/>
                <w:sz w:val="18"/>
                <w:szCs w:val="18"/>
              </w:rPr>
              <w:t xml:space="preserve">AJPM Focus</w:t>
            </w:r>
            <w:r>
              <w:rPr>
                <w:sz w:val="18"/>
                <w:szCs w:val="18"/>
              </w:rPr>
              <w:t xml:space="preserve"> 2025;5(1):100434.</w:t>
            </w:r>
          </w:p>
        </w:tc>
        <w:tc>
          <w:tcPr>
            <w:tcW w:type="dxa" w:w="6178"/>
            <w:tcMar>
              <w:top w:type="dxa" w:w="60"/>
              <w:left w:type="dxa" w:w="108"/>
              <w:bottom w:type="dxa" w:w="60"/>
              <w:right w:type="dxa" w:w="108"/>
            </w:tcMar>
          </w:tcPr>
          <w:p>
            <w:pPr>
              <w:spacing w:after="0" w:line="240"/>
            </w:pPr>
            <w:r>
              <w:rPr>
                <w:sz w:val="18"/>
                <w:szCs w:val="18"/>
              </w:rPr>
              <w:t xml:space="preserve">https://doi.org/10.1016/j.focus.2025.100434</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Schenk H, Rauch W, Zulli A, Boehm AB. SARS-CoV-2 surveillance in US wastewater. </w:t>
            </w:r>
            <w:r>
              <w:rPr>
                <w:i/>
                <w:iCs/>
                <w:sz w:val="18"/>
                <w:szCs w:val="18"/>
              </w:rPr>
              <w:t xml:space="preserve">PLOS ONE</w:t>
            </w:r>
            <w:r>
              <w:rPr>
                <w:sz w:val="18"/>
                <w:szCs w:val="18"/>
              </w:rPr>
              <w:t xml:space="preserve"> 2024;19(11):e0313927.</w:t>
            </w:r>
          </w:p>
        </w:tc>
        <w:tc>
          <w:tcPr>
            <w:tcW w:type="dxa" w:w="6178"/>
            <w:tcMar>
              <w:top w:type="dxa" w:w="60"/>
              <w:left w:type="dxa" w:w="108"/>
              <w:bottom w:type="dxa" w:w="60"/>
              <w:right w:type="dxa" w:w="108"/>
            </w:tcMar>
          </w:tcPr>
          <w:p>
            <w:pPr>
              <w:spacing w:after="0" w:line="240"/>
            </w:pPr>
            <w:r>
              <w:rPr>
                <w:sz w:val="18"/>
                <w:szCs w:val="18"/>
              </w:rPr>
              <w:t xml:space="preserve">https://doi.org/10.1371/journal.pone.0313927</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Beck AS, et al. Sensitivity of a measles diagnostic real-time RT-PCR assay with priming mismatch variants. </w:t>
            </w:r>
            <w:r>
              <w:rPr>
                <w:i/>
                <w:iCs/>
                <w:sz w:val="18"/>
                <w:szCs w:val="18"/>
              </w:rPr>
              <w:t xml:space="preserve">Eurosurveillance</w:t>
            </w:r>
            <w:r>
              <w:rPr>
                <w:sz w:val="18"/>
                <w:szCs w:val="18"/>
              </w:rPr>
              <w:t xml:space="preserve"> 2024;29(28):2400410.</w:t>
            </w:r>
          </w:p>
        </w:tc>
        <w:tc>
          <w:tcPr>
            <w:tcW w:type="dxa" w:w="6178"/>
            <w:tcMar>
              <w:top w:type="dxa" w:w="60"/>
              <w:left w:type="dxa" w:w="108"/>
              <w:bottom w:type="dxa" w:w="60"/>
              <w:right w:type="dxa" w:w="108"/>
            </w:tcMar>
          </w:tcPr>
          <w:p>
            <w:pPr>
              <w:spacing w:after="0" w:line="240"/>
            </w:pPr>
            <w:r>
              <w:rPr>
                <w:sz w:val="18"/>
                <w:szCs w:val="18"/>
              </w:rPr>
              <w:t xml:space="preserve">https://doi.org/10.2807/1560-7917.ES.2024.29.28.2400410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Berman HM, et al. The Protein Data Bank. </w:t>
            </w:r>
            <w:r>
              <w:rPr>
                <w:i/>
                <w:iCs/>
                <w:sz w:val="18"/>
                <w:szCs w:val="18"/>
              </w:rPr>
              <w:t xml:space="preserve">Nucleic Acids Res</w:t>
            </w:r>
            <w:r>
              <w:rPr>
                <w:sz w:val="18"/>
                <w:szCs w:val="18"/>
              </w:rPr>
              <w:t xml:space="preserve"> 2000;28(1):235–242.</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Rego N, Koes D. 3Dmol.js. </w:t>
            </w:r>
            <w:r>
              <w:rPr>
                <w:i/>
                <w:iCs/>
                <w:sz w:val="18"/>
                <w:szCs w:val="18"/>
              </w:rPr>
              <w:t xml:space="preserve">Bioinformatics</w:t>
            </w:r>
            <w:r>
              <w:rPr>
                <w:sz w:val="18"/>
                <w:szCs w:val="18"/>
              </w:rPr>
              <w:t xml:space="preserve"> 2015;31(8):1322–1324.</w:t>
            </w:r>
          </w:p>
        </w:tc>
        <w:tc>
          <w:tcPr>
            <w:tcW w:type="dxa" w:w="6178"/>
            <w:tcMar>
              <w:top w:type="dxa" w:w="60"/>
              <w:left w:type="dxa" w:w="108"/>
              <w:bottom w:type="dxa" w:w="60"/>
              <w:right w:type="dxa" w:w="108"/>
            </w:tcMar>
          </w:tcPr>
          <w:p>
            <w:pPr>
              <w:spacing w:after="0" w:line="240"/>
            </w:pPr>
            <w:r>
              <w:rPr>
                <w:sz w:val="18"/>
                <w:szCs w:val="18"/>
              </w:rPr>
              <w:t xml:space="preserve">https://doi.org/10.1093/bioinformatics/btu829</w:t>
            </w:r>
          </w:p>
        </w:tc>
      </w:tr>
    </w:tbl>
    <w:p>
      <w:pPr>
        <w:spacing w:after="160"/>
      </w:pPr>
    </w:p>
    <w:p>
      <w:pPr>
        <w:pStyle w:val="Heading2"/>
        <w:spacing w:after="120" w:before="240"/>
      </w:pPr>
      <w:r>
        <w:rPr>
          <w:b/>
          <w:bCs/>
          <w:color w:val="6E1F2B"/>
          <w:sz w:val="24"/>
          <w:szCs w:val="24"/>
        </w:rPr>
        <w:t xml:space="preserve">11.1 Data sources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National Wastewater Surveillance System</w:t>
            </w:r>
          </w:p>
        </w:tc>
        <w:tc>
          <w:tcPr>
            <w:tcW w:type="dxa" w:w="6178"/>
            <w:tcMar>
              <w:top w:type="dxa" w:w="60"/>
              <w:left w:type="dxa" w:w="108"/>
              <w:bottom w:type="dxa" w:w="60"/>
              <w:right w:type="dxa" w:w="108"/>
            </w:tcMar>
          </w:tcPr>
          <w:p>
            <w:pPr>
              <w:spacing w:after="0" w:line="240"/>
            </w:pPr>
            <w:r>
              <w:rPr>
                <w:sz w:val="18"/>
                <w:szCs w:val="18"/>
              </w:rPr>
              <w:t xml:space="preserve">https://data.cdc.gov</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National Syndromic Surveillance Program (ED visits)</w:t>
            </w:r>
          </w:p>
        </w:tc>
        <w:tc>
          <w:tcPr>
            <w:tcW w:type="dxa" w:w="6178"/>
            <w:tcMar>
              <w:top w:type="dxa" w:w="60"/>
              <w:left w:type="dxa" w:w="108"/>
              <w:bottom w:type="dxa" w:w="60"/>
              <w:right w:type="dxa" w:w="108"/>
            </w:tcMar>
          </w:tcPr>
          <w:p>
            <w:pPr>
              <w:spacing w:after="0" w:line="240"/>
            </w:pPr>
            <w:r>
              <w:rPr>
                <w:sz w:val="18"/>
                <w:szCs w:val="18"/>
              </w:rPr>
              <w:t xml:space="preserve">https://data.cdc.gov/d/rdmq-nq56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PLACES</w:t>
            </w:r>
          </w:p>
        </w:tc>
        <w:tc>
          <w:tcPr>
            <w:tcW w:type="dxa" w:w="6178"/>
            <w:tcMar>
              <w:top w:type="dxa" w:w="60"/>
              <w:left w:type="dxa" w:w="108"/>
              <w:bottom w:type="dxa" w:w="60"/>
              <w:right w:type="dxa" w:w="108"/>
            </w:tcMar>
          </w:tcPr>
          <w:p>
            <w:pPr>
              <w:spacing w:after="0" w:line="240"/>
            </w:pPr>
            <w:r>
              <w:rPr>
                <w:sz w:val="18"/>
                <w:szCs w:val="18"/>
              </w:rPr>
              <w:t xml:space="preserve">https://data.cdc.gov/d/swc5-untb</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CDC/ATSDR Social Vulnerability Index</w:t>
            </w:r>
          </w:p>
        </w:tc>
        <w:tc>
          <w:tcPr>
            <w:tcW w:type="dxa" w:w="6178"/>
            <w:tcMar>
              <w:top w:type="dxa" w:w="60"/>
              <w:left w:type="dxa" w:w="108"/>
              <w:bottom w:type="dxa" w:w="60"/>
              <w:right w:type="dxa" w:w="108"/>
            </w:tcMar>
          </w:tcPr>
          <w:p>
            <w:pPr>
              <w:spacing w:after="0" w:line="240"/>
            </w:pPr>
            <w:r>
              <w:rPr>
                <w:sz w:val="18"/>
                <w:szCs w:val="18"/>
              </w:rPr>
              <w:t xml:space="preserve">https://www.atsdr.cdc.gov/place-health/php/svi/</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 Census Bureau TIGER/Line</w:t>
            </w:r>
          </w:p>
        </w:tc>
        <w:tc>
          <w:tcPr>
            <w:tcW w:type="dxa" w:w="6178"/>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NCBI Virus / Datasets</w:t>
            </w:r>
          </w:p>
        </w:tc>
        <w:tc>
          <w:tcPr>
            <w:tcW w:type="dxa" w:w="6178"/>
            <w:tcMar>
              <w:top w:type="dxa" w:w="60"/>
              <w:left w:type="dxa" w:w="108"/>
              <w:bottom w:type="dxa" w:w="60"/>
              <w:right w:type="dxa" w:w="108"/>
            </w:tcMar>
          </w:tcPr>
          <w:p>
            <w:pPr>
              <w:spacing w:after="0" w:line="240"/>
            </w:pPr>
            <w:r>
              <w:rPr>
                <w:sz w:val="18"/>
                <w:szCs w:val="18"/>
              </w:rPr>
              <w:t xml:space="preserve">https://www.ncbi.nlm.nih.gov/datasets/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RCSB Protein Data Bank</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UniProt</w:t>
            </w:r>
          </w:p>
        </w:tc>
        <w:tc>
          <w:tcPr>
            <w:tcW w:type="dxa" w:w="6178"/>
            <w:tcMar>
              <w:top w:type="dxa" w:w="60"/>
              <w:left w:type="dxa" w:w="108"/>
              <w:bottom w:type="dxa" w:w="60"/>
              <w:right w:type="dxa" w:w="108"/>
            </w:tcMar>
          </w:tcPr>
          <w:p>
            <w:pPr>
              <w:spacing w:after="0" w:line="240"/>
            </w:pPr>
            <w:r>
              <w:rPr>
                <w:sz w:val="18"/>
                <w:szCs w:val="18"/>
              </w:rPr>
              <w:t xml:space="preserve">https://www.uniprot.org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World Bank Indicators API</w:t>
            </w:r>
          </w:p>
        </w:tc>
        <w:tc>
          <w:tcPr>
            <w:tcW w:type="dxa" w:w="6178"/>
            <w:tcMar>
              <w:top w:type="dxa" w:w="60"/>
              <w:left w:type="dxa" w:w="108"/>
              <w:bottom w:type="dxa" w:w="60"/>
              <w:right w:type="dxa" w:w="108"/>
            </w:tcMar>
          </w:tcPr>
          <w:p>
            <w:pPr>
              <w:spacing w:after="0" w:line="240"/>
            </w:pPr>
            <w:r>
              <w:rPr>
                <w:sz w:val="18"/>
                <w:szCs w:val="18"/>
              </w:rPr>
              <w:t xml:space="preserve">https://api.worldbank.org/v2/</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WHO/UNICEF Joint Monitoring Programme</w:t>
            </w:r>
          </w:p>
        </w:tc>
        <w:tc>
          <w:tcPr>
            <w:tcW w:type="dxa" w:w="6178"/>
            <w:tcMar>
              <w:top w:type="dxa" w:w="60"/>
              <w:left w:type="dxa" w:w="108"/>
              <w:bottom w:type="dxa" w:w="60"/>
              <w:right w:type="dxa" w:w="108"/>
            </w:tcMar>
          </w:tcPr>
          <w:p>
            <w:pPr>
              <w:spacing w:after="0" w:line="240"/>
            </w:pPr>
            <w:r>
              <w:rPr>
                <w:sz w:val="18"/>
                <w:szCs w:val="18"/>
              </w:rPr>
              <w:t xml:space="preserve">https://washdata.org/data/downloads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6178"/>
            <w:tcMar>
              <w:top w:type="dxa" w:w="60"/>
              <w:left w:type="dxa" w:w="108"/>
              <w:bottom w:type="dxa" w:w="60"/>
              <w:right w:type="dxa" w:w="108"/>
            </w:tcMar>
          </w:tcPr>
          <w:p>
            <w:pPr>
              <w:spacing w:after="0" w:line="240"/>
            </w:pPr>
            <w:r>
              <w:rPr>
                <w:sz w:val="18"/>
                <w:szCs w:val="18"/>
              </w:rPr>
              <w:t xml:space="preserve">https://github.com/robert-koch-institut/Abwassersurveillance_AMELAG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CDCgov/NWSS repository</w:t>
            </w:r>
          </w:p>
        </w:tc>
        <w:tc>
          <w:tcPr>
            <w:tcW w:type="dxa" w:w="6178"/>
            <w:tcMar>
              <w:top w:type="dxa" w:w="60"/>
              <w:left w:type="dxa" w:w="108"/>
              <w:bottom w:type="dxa" w:w="60"/>
              <w:right w:type="dxa" w:w="108"/>
            </w:tcMar>
          </w:tcPr>
          <w:p>
            <w:pPr>
              <w:spacing w:after="0" w:line="240"/>
            </w:pPr>
            <w:r>
              <w:rPr>
                <w:sz w:val="18"/>
                <w:szCs w:val="18"/>
              </w:rPr>
              <w:t xml:space="preserve">https://github.com/CDCgov/NWSS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12. Data inventory for this run</w:t>
      </w:r>
    </w:p>
    <w:p>
      <w:pPr>
        <w:spacing w:after="120" w:line="276"/>
      </w:pPr>
      <w:r>
        <w:t xml:space="preserve">The export for this run contains 32 entity files. Each is a flat CSV; the site reads all of them from one JSON payload built at publication time.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Entity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Columns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Views that read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w:t>
            </w:r>
          </w:p>
        </w:tc>
        <w:tc>
          <w:tcPr>
            <w:tcW w:type="dxa" w:w="2308"/>
            <w:tcMar>
              <w:top w:type="dxa" w:w="60"/>
              <w:left w:type="dxa" w:w="108"/>
              <w:bottom w:type="dxa" w:w="60"/>
              <w:right w:type="dxa" w:w="108"/>
            </w:tcMar>
          </w:tcPr>
          <w:p>
            <w:pPr>
              <w:spacing w:after="0" w:line="240"/>
            </w:pPr>
            <w:r>
              <w:rPr>
                <w:sz w:val="18"/>
                <w:szCs w:val="18"/>
              </w:rPr>
              <w:t xml:space="preserve">29</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AmrState</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AmrTarget</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AuditLog</w:t>
            </w:r>
          </w:p>
        </w:tc>
        <w:tc>
          <w:tcPr>
            <w:tcW w:type="dxa" w:w="2308"/>
            <w:tcMar>
              <w:top w:type="dxa" w:w="60"/>
              <w:left w:type="dxa" w:w="108"/>
              <w:bottom w:type="dxa" w:w="60"/>
              <w:right w:type="dxa" w:w="108"/>
            </w:tcMar>
          </w:tcPr>
          <w:p>
            <w:pPr>
              <w:spacing w:after="0" w:line="240"/>
            </w:pPr>
            <w:r>
              <w:rPr>
                <w:sz w:val="18"/>
                <w:szCs w:val="18"/>
              </w:rPr>
              <w:t xml:space="preserve">37</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Audit log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2308"/>
            <w:tcMar>
              <w:top w:type="dxa" w:w="60"/>
              <w:left w:type="dxa" w:w="108"/>
              <w:bottom w:type="dxa" w:w="60"/>
              <w:right w:type="dxa" w:w="108"/>
            </w:tcMar>
          </w:tcPr>
          <w:p>
            <w:pPr>
              <w:spacing w:after="0" w:line="240"/>
            </w:pPr>
            <w:r>
              <w:rPr>
                <w:sz w:val="18"/>
                <w:szCs w:val="18"/>
              </w:rPr>
              <w:t xml:space="preserve">2,331</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CountyCluster</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Surveillance map</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CountyCoverage</w:t>
            </w:r>
          </w:p>
        </w:tc>
        <w:tc>
          <w:tcPr>
            <w:tcW w:type="dxa" w:w="2308"/>
            <w:tcMar>
              <w:top w:type="dxa" w:w="60"/>
              <w:left w:type="dxa" w:w="108"/>
              <w:bottom w:type="dxa" w:w="60"/>
              <w:right w:type="dxa" w:w="108"/>
            </w:tcMar>
          </w:tcPr>
          <w:p>
            <w:pPr>
              <w:spacing w:after="0" w:line="240"/>
            </w:pPr>
            <w:r>
              <w:rPr>
                <w:sz w:val="18"/>
                <w:szCs w:val="18"/>
              </w:rPr>
              <w:t xml:space="preserve">4,621</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DataSource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Methods &amp; sources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EmergingTrend</w:t>
            </w:r>
          </w:p>
        </w:tc>
        <w:tc>
          <w:tcPr>
            <w:tcW w:type="dxa" w:w="2308"/>
            <w:tcMar>
              <w:top w:type="dxa" w:w="60"/>
              <w:left w:type="dxa" w:w="108"/>
              <w:bottom w:type="dxa" w:w="60"/>
              <w:right w:type="dxa" w:w="108"/>
            </w:tcMar>
          </w:tcPr>
          <w:p>
            <w:pPr>
              <w:spacing w:after="0" w:line="240"/>
            </w:pPr>
            <w:r>
              <w:rPr>
                <w:sz w:val="18"/>
                <w:szCs w:val="18"/>
              </w:rPr>
              <w:t xml:space="preserve">464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EquitySummary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GenomicByYear</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GenomicRecord</w:t>
            </w:r>
          </w:p>
        </w:tc>
        <w:tc>
          <w:tcPr>
            <w:tcW w:type="dxa" w:w="2308"/>
            <w:tcMar>
              <w:top w:type="dxa" w:w="60"/>
              <w:left w:type="dxa" w:w="108"/>
              <w:bottom w:type="dxa" w:w="60"/>
              <w:right w:type="dxa" w:w="108"/>
            </w:tcMar>
          </w:tcPr>
          <w:p>
            <w:pPr>
              <w:spacing w:after="0" w:line="240"/>
            </w:pPr>
            <w:r>
              <w:rPr>
                <w:sz w:val="18"/>
                <w:szCs w:val="18"/>
              </w:rPr>
              <w:t xml:space="preserve">3,738</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GenomicSummary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ModelPerformance</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Predictive models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MonitoringNational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MonitoringStatus</w:t>
            </w:r>
          </w:p>
        </w:tc>
        <w:tc>
          <w:tcPr>
            <w:tcW w:type="dxa" w:w="2308"/>
            <w:tcMar>
              <w:top w:type="dxa" w:w="60"/>
              <w:left w:type="dxa" w:w="108"/>
              <w:bottom w:type="dxa" w:w="60"/>
              <w:right w:type="dxa" w:w="108"/>
            </w:tcMar>
          </w:tcPr>
          <w:p>
            <w:pPr>
              <w:spacing w:after="0" w:line="240"/>
            </w:pPr>
            <w:r>
              <w:rPr>
                <w:sz w:val="18"/>
                <w:szCs w:val="18"/>
              </w:rPr>
              <w:t xml:space="preserve">3,144</w:t>
            </w:r>
          </w:p>
        </w:tc>
        <w:tc>
          <w:tcPr>
            <w:tcW w:type="dxa" w:w="2308"/>
            <w:tcMar>
              <w:top w:type="dxa" w:w="60"/>
              <w:left w:type="dxa" w:w="108"/>
              <w:bottom w:type="dxa" w:w="60"/>
              <w:right w:type="dxa" w:w="108"/>
            </w:tcMar>
          </w:tcPr>
          <w:p>
            <w:pPr>
              <w:spacing w:after="0" w:line="240"/>
            </w:pPr>
            <w:r>
              <w:rPr>
                <w:sz w:val="18"/>
                <w:szCs w:val="18"/>
              </w:rPr>
              <w:t xml:space="preserve">17</w:t>
            </w:r>
          </w:p>
        </w:tc>
        <w:tc>
          <w:tcPr>
            <w:tcW w:type="dxa" w:w="2310"/>
            <w:tcMar>
              <w:top w:type="dxa" w:w="60"/>
              <w:left w:type="dxa" w:w="108"/>
              <w:bottom w:type="dxa" w:w="60"/>
              <w:right w:type="dxa" w:w="108"/>
            </w:tcMar>
          </w:tcPr>
          <w:p>
            <w:pPr>
              <w:spacing w:after="0" w:line="240"/>
            </w:pPr>
            <w:r>
              <w:rPr>
                <w:sz w:val="18"/>
                <w:szCs w:val="18"/>
              </w:rPr>
              <w:t xml:space="preserve">Coverage &amp; equity, Data &amp; reports, Protein structures, 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NationalTrend</w:t>
            </w:r>
          </w:p>
        </w:tc>
        <w:tc>
          <w:tcPr>
            <w:tcW w:type="dxa" w:w="2308"/>
            <w:tcMar>
              <w:top w:type="dxa" w:w="60"/>
              <w:left w:type="dxa" w:w="108"/>
              <w:bottom w:type="dxa" w:w="60"/>
              <w:right w:type="dxa" w:w="108"/>
            </w:tcMar>
          </w:tcPr>
          <w:p>
            <w:pPr>
              <w:spacing w:after="0" w:line="240"/>
            </w:pPr>
            <w:r>
              <w:rPr>
                <w:sz w:val="18"/>
                <w:szCs w:val="18"/>
              </w:rPr>
              <w:t xml:space="preserve">617</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PathogenSummary</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Alerts, Coverage &amp; equity, Methods &amp; sources, Start here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PipelineRun</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Methods &amp; sources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ProteinStructure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SeasonalPeakState</w:t>
            </w:r>
          </w:p>
        </w:tc>
        <w:tc>
          <w:tcPr>
            <w:tcW w:type="dxa" w:w="2308"/>
            <w:tcMar>
              <w:top w:type="dxa" w:w="60"/>
              <w:left w:type="dxa" w:w="108"/>
              <w:bottom w:type="dxa" w:w="60"/>
              <w:right w:type="dxa" w:w="108"/>
            </w:tcMar>
          </w:tcPr>
          <w:p>
            <w:pPr>
              <w:spacing w:after="0" w:line="240"/>
            </w:pPr>
            <w:r>
              <w:rPr>
                <w:sz w:val="18"/>
                <w:szCs w:val="18"/>
              </w:rPr>
              <w:t xml:space="preserve">412</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SeasonalVariability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ShapFeature</w:t>
            </w:r>
          </w:p>
        </w:tc>
        <w:tc>
          <w:tcPr>
            <w:tcW w:type="dxa" w:w="2308"/>
            <w:tcMar>
              <w:top w:type="dxa" w:w="60"/>
              <w:left w:type="dxa" w:w="108"/>
              <w:bottom w:type="dxa" w:w="60"/>
              <w:right w:type="dxa" w:w="108"/>
            </w:tcMar>
          </w:tcPr>
          <w:p>
            <w:pPr>
              <w:spacing w:after="0" w:line="240"/>
            </w:pPr>
            <w:r>
              <w:rPr>
                <w:sz w:val="18"/>
                <w:szCs w:val="18"/>
              </w:rPr>
              <w:t xml:space="preserve">30</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Predictive models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SpatialSummary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Surveillance map</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StateLag</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Data &amp; reports,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TennesseeAlignment</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TennesseeCounty</w:t>
            </w:r>
          </w:p>
        </w:tc>
        <w:tc>
          <w:tcPr>
            <w:tcW w:type="dxa" w:w="2308"/>
            <w:tcMar>
              <w:top w:type="dxa" w:w="60"/>
              <w:left w:type="dxa" w:w="108"/>
              <w:bottom w:type="dxa" w:w="60"/>
              <w:right w:type="dxa" w:w="108"/>
            </w:tcMar>
          </w:tcPr>
          <w:p>
            <w:pPr>
              <w:spacing w:after="0" w:line="240"/>
            </w:pPr>
            <w:r>
              <w:rPr>
                <w:sz w:val="18"/>
                <w:szCs w:val="18"/>
              </w:rPr>
              <w:t xml:space="preserve">95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About the developer, 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TennesseeEquity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TennesseeSeasonal</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UrbanicityCounty</w:t>
            </w:r>
          </w:p>
        </w:tc>
        <w:tc>
          <w:tcPr>
            <w:tcW w:type="dxa" w:w="2308"/>
            <w:tcMar>
              <w:top w:type="dxa" w:w="60"/>
              <w:left w:type="dxa" w:w="108"/>
              <w:bottom w:type="dxa" w:w="60"/>
              <w:right w:type="dxa" w:w="108"/>
            </w:tcMar>
          </w:tcPr>
          <w:p>
            <w:pPr>
              <w:spacing w:after="0" w:line="240"/>
            </w:pPr>
            <w:r>
              <w:rPr>
                <w:sz w:val="18"/>
                <w:szCs w:val="18"/>
              </w:rPr>
              <w:t xml:space="preserve">3,144</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Coverage &amp; equity, 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UrbanicityCoverage</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bl>
    <w:p>
      <w:pPr>
        <w:spacing w:after="160"/>
      </w:pPr>
    </w:p>
    <w:p>
      <w:pPr>
        <w:spacing w:after="120" w:line="276"/>
      </w:pPr>
      <w:r>
        <w:t xml:space="preserve">The last column is derived from the code, not from a list kept by hand: each entity is traced through the key </w:t>
      </w:r>
      <w:r>
        <w:rPr>
          <w:rFonts w:ascii="Consolas" w:cs="Consolas" w:eastAsia="Consolas" w:hAnsi="Consolas"/>
          <w:color w:val="6E1F2B"/>
          <w:sz w:val="18"/>
          <w:szCs w:val="18"/>
        </w:rPr>
        <w:t xml:space="preserve">build_site.py</w:t>
      </w:r>
      <w:r>
        <w:t xml:space="preserve"> assigns it, then through the views and shared panel helpers in </w:t>
      </w:r>
      <w:r>
        <w:rPr>
          <w:rFonts w:ascii="Consolas" w:cs="Consolas" w:eastAsia="Consolas" w:hAnsi="Consolas"/>
          <w:color w:val="6E1F2B"/>
          <w:sz w:val="18"/>
          <w:szCs w:val="18"/>
        </w:rPr>
        <w:t xml:space="preserve">template.html</w:t>
      </w:r>
      <w:r>
        <w:t xml:space="preserve"> that read that key. An entity marked as read by no view is exported and archived but not displayed anywhere — either deliberately, because the release should carry more than the page shows, or because it was built and never wired up. Both are worth knowing; the table does not distinguish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13. Reproducing any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this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GitHub Release tagged with that run identifier and download </w:t>
            </w:r>
            <w:r>
              <w:rPr>
                <w:rFonts w:ascii="Consolas" w:cs="Consolas" w:eastAsia="Consolas" w:hAnsi="Consolas"/>
                <w:color w:val="6E1F2B"/>
                <w:sz w:val="18"/>
                <w:szCs w:val="18"/>
              </w:rPr>
              <w:t xml:space="preserve">&lt;run_id&gt;_app_export.zip</w:t>
            </w:r>
            <w:r>
              <w:t xml:space="preserve"> (the entity CSVs) or </w:t>
            </w:r>
            <w:r>
              <w:rPr>
                <w:rFonts w:ascii="Consolas" w:cs="Consolas" w:eastAsia="Consolas" w:hAnsi="Consolas"/>
                <w:color w:val="6E1F2B"/>
                <w:sz w:val="18"/>
                <w:szCs w:val="18"/>
              </w:rPr>
              <w:t xml:space="preserve">&lt;run_id&gt;_tables.zip</w:t>
            </w:r>
            <w:r>
              <w:t xml:space="preserve"> (the full pipeline tables).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Rebuild the page from that export: </w:t>
            </w:r>
            <w:r>
              <w:rPr>
                <w:rFonts w:ascii="Consolas" w:cs="Consolas" w:eastAsia="Consolas" w:hAnsi="Consolas"/>
                <w:color w:val="6E1F2B"/>
                <w:sz w:val="18"/>
                <w:szCs w:val="18"/>
              </w:rPr>
              <w:t xml:space="preserve">python3 scripts/build_site.py &lt;export_dir&gt; site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Regenerate this document from the same export: </w:t>
            </w:r>
            <w:r>
              <w:rPr>
                <w:rFonts w:ascii="Consolas" w:cs="Consolas" w:eastAsia="Consolas" w:hAnsi="Consolas"/>
                <w:color w:val="6E1F2B"/>
                <w:sz w:val="18"/>
                <w:szCs w:val="18"/>
              </w:rPr>
              <w:t xml:space="preserve">python3 scripts/build_audit_doc.py &lt;export_dir&gt; docs/DASHBOARD_AUDIT.md</w:t>
            </w:r>
          </w:p>
        </w:tc>
      </w:tr>
    </w:tbl>
    <w:p>
      <w:pPr>
        <w:spacing w:after="120" w:line="276"/>
      </w:pPr>
      <w:r>
        <w:t xml:space="preserve">Re-running the pipeline itself will </w:t>
      </w:r>
      <w:r>
        <w:rPr>
          <w:b/>
          <w:bCs/>
        </w:rPr>
        <w:t xml:space="preserve">not</w:t>
      </w:r>
      <w:r>
        <w:t xml:space="preserve"> reproduce an old run, because CDC revises its datasets continuously and the pipeline always pulls current data.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14. Licensing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Component</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NWGS Grid code and site content</w:t>
            </w:r>
          </w:p>
        </w:tc>
        <w:tc>
          <w:tcPr>
            <w:tcW w:type="dxa" w:w="3089"/>
            <w:tcMar>
              <w:top w:type="dxa" w:w="60"/>
              <w:left w:type="dxa" w:w="108"/>
              <w:bottom w:type="dxa" w:w="60"/>
              <w:right w:type="dxa" w:w="108"/>
            </w:tcMar>
          </w:tcPr>
          <w:p>
            <w:pPr>
              <w:spacing w:after="0" w:line="240"/>
            </w:pPr>
            <w:r>
              <w:rPr>
                <w:sz w:val="18"/>
                <w:szCs w:val="18"/>
              </w:rPr>
              <w:t xml:space="preserve">All rights reserved</w:t>
            </w:r>
          </w:p>
        </w:tc>
        <w:tc>
          <w:tcPr>
            <w:tcW w:type="dxa" w:w="3089"/>
            <w:tcMar>
              <w:top w:type="dxa" w:w="60"/>
              <w:left w:type="dxa" w:w="108"/>
              <w:bottom w:type="dxa" w:w="60"/>
              <w:right w:type="dxa" w:w="108"/>
            </w:tcMar>
          </w:tcPr>
          <w:p>
            <w:pPr>
              <w:spacing w:after="0" w:line="240"/>
            </w:pPr>
            <w:r>
              <w:rPr>
                <w:sz w:val="18"/>
                <w:szCs w:val="18"/>
              </w:rPr>
              <w:t xml:space="preserve">No reuse without written permission; see </w:t>
            </w:r>
            <w:r>
              <w:rPr>
                <w:rFonts w:ascii="Consolas" w:cs="Consolas" w:eastAsia="Consolas" w:hAnsi="Consolas"/>
                <w:color w:val="6E1F2B"/>
                <w:sz w:val="18"/>
                <w:szCs w:val="18"/>
              </w:rPr>
              <w:t xml:space="preserve">LICENSE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NWSS and NSSP data</w:t>
            </w:r>
          </w:p>
        </w:tc>
        <w:tc>
          <w:tcPr>
            <w:tcW w:type="dxa" w:w="3089"/>
            <w:tcMar>
              <w:top w:type="dxa" w:w="60"/>
              <w:left w:type="dxa" w:w="108"/>
              <w:bottom w:type="dxa" w:w="60"/>
              <w:right w:type="dxa" w:w="108"/>
            </w:tcMar>
          </w:tcPr>
          <w:p>
            <w:pPr>
              <w:spacing w:after="0" w:line="240"/>
            </w:pPr>
            <w:r>
              <w:rPr>
                <w:sz w:val="18"/>
                <w:szCs w:val="18"/>
              </w:rPr>
              <w:t xml:space="preserve">Public domain (US Government)</w:t>
            </w:r>
          </w:p>
        </w:tc>
        <w:tc>
          <w:tcPr>
            <w:tcW w:type="dxa" w:w="3089"/>
            <w:tcMar>
              <w:top w:type="dxa" w:w="60"/>
              <w:left w:type="dxa" w:w="108"/>
              <w:bottom w:type="dxa" w:w="60"/>
              <w:right w:type="dxa" w:w="108"/>
            </w:tcMar>
          </w:tcPr>
          <w:p>
            <w:pPr>
              <w:spacing w:after="0" w:line="240"/>
            </w:pPr>
            <w:r>
              <w:rPr>
                <w:sz w:val="18"/>
                <w:szCs w:val="18"/>
              </w:rPr>
              <w:t xml:space="preserve">Attribution expected; data is revised continuously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 Census TIGER/Line</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County boundary geometry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NCBI / INSDC records</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May be redistributed, which is why sequences here are downloadable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RCSB PDB / UniProt</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Structures and functional annotations, cited in place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Versioned with a DOI</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World Bank Indicators</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Sanitation and income classification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sz w:val="18"/>
                <w:szCs w:val="18"/>
              </w:rPr>
              <w:t xml:space="preserve">Provider terms</w:t>
            </w:r>
          </w:p>
        </w:tc>
        <w:tc>
          <w:tcPr>
            <w:tcW w:type="dxa" w:w="3089"/>
            <w:tcMar>
              <w:top w:type="dxa" w:w="60"/>
              <w:left w:type="dxa" w:w="108"/>
              <w:bottom w:type="dxa" w:w="60"/>
              <w:right w:type="dxa" w:w="108"/>
            </w:tcMar>
          </w:tcPr>
          <w:p>
            <w:pPr>
              <w:spacing w:after="0" w:line="240"/>
            </w:pPr>
            <w:r>
              <w:rPr>
                <w:sz w:val="18"/>
                <w:szCs w:val="18"/>
              </w:rPr>
              <w:t xml:space="preserve">Household world workbook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us-atlas county geometry</w:t>
            </w:r>
          </w:p>
        </w:tc>
        <w:tc>
          <w:tcPr>
            <w:tcW w:type="dxa" w:w="3089"/>
            <w:tcMar>
              <w:top w:type="dxa" w:w="60"/>
              <w:left w:type="dxa" w:w="108"/>
              <w:bottom w:type="dxa" w:w="60"/>
              <w:right w:type="dxa" w:w="108"/>
            </w:tcMar>
          </w:tcPr>
          <w:p>
            <w:pPr>
              <w:spacing w:after="0" w:line="240"/>
            </w:pPr>
            <w:r>
              <w:rPr>
                <w:sz w:val="18"/>
                <w:szCs w:val="18"/>
              </w:rPr>
              <w:t xml:space="preserve">ISC</w:t>
            </w:r>
          </w:p>
        </w:tc>
        <w:tc>
          <w:tcPr>
            <w:tcW w:type="dxa" w:w="3089"/>
            <w:tcMar>
              <w:top w:type="dxa" w:w="60"/>
              <w:left w:type="dxa" w:w="108"/>
              <w:bottom w:type="dxa" w:w="60"/>
              <w:right w:type="dxa" w:w="108"/>
            </w:tcMar>
          </w:tcPr>
          <w:p>
            <w:pPr>
              <w:spacing w:after="0" w:line="240"/>
            </w:pPr>
            <w:r>
              <w:rPr>
                <w:sz w:val="18"/>
                <w:szCs w:val="18"/>
              </w:rPr>
              <w:t xml:space="preserve">Bundled; see </w:t>
            </w:r>
            <w:r>
              <w:rPr>
                <w:rFonts w:ascii="Consolas" w:cs="Consolas" w:eastAsia="Consolas" w:hAnsi="Consolas"/>
                <w:color w:val="6E1F2B"/>
                <w:sz w:val="18"/>
                <w:szCs w:val="18"/>
              </w:rPr>
              <w:t xml:space="preserve">site_src/us-atlas-LICENSE.txt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d3, topojson, supabase-js, 3Dmol.js</w:t>
            </w:r>
          </w:p>
        </w:tc>
        <w:tc>
          <w:tcPr>
            <w:tcW w:type="dxa" w:w="3089"/>
            <w:tcMar>
              <w:top w:type="dxa" w:w="60"/>
              <w:left w:type="dxa" w:w="108"/>
              <w:bottom w:type="dxa" w:w="60"/>
              <w:right w:type="dxa" w:w="108"/>
            </w:tcMar>
          </w:tcPr>
          <w:p>
            <w:pPr>
              <w:spacing w:after="0" w:line="240"/>
            </w:pPr>
            <w:r>
              <w:rPr>
                <w:sz w:val="18"/>
                <w:szCs w:val="18"/>
              </w:rPr>
              <w:t xml:space="preserve">Open source (BSD/MIT/ISC)</w:t>
            </w:r>
          </w:p>
        </w:tc>
        <w:tc>
          <w:tcPr>
            <w:tcW w:type="dxa" w:w="3089"/>
            <w:tcMar>
              <w:top w:type="dxa" w:w="60"/>
              <w:left w:type="dxa" w:w="108"/>
              <w:bottom w:type="dxa" w:w="60"/>
              <w:right w:type="dxa" w:w="108"/>
            </w:tcMar>
          </w:tcPr>
          <w:p>
            <w:pPr>
              <w:spacing w:after="0" w:line="240"/>
            </w:pPr>
            <w:r>
              <w:rPr>
                <w:sz w:val="18"/>
                <w:szCs w:val="18"/>
              </w:rPr>
              <w:t xml:space="preserve">Loaded from CDNs at runtime, not vendored</w:t>
            </w:r>
          </w:p>
        </w:tc>
      </w:tr>
    </w:tbl>
    <w:p>
      <w:pPr>
        <w:spacing w:after="160"/>
      </w:pPr>
    </w:p>
    <w:p>
      <w:pPr>
        <w:spacing w:after="120" w:line="276"/>
      </w:pPr>
      <w:r>
        <w:t xml:space="preserve">The project's own code and content are all rights reserved; see </w:t>
      </w:r>
      <w:r>
        <w:rPr>
          <w:rFonts w:ascii="Consolas" w:cs="Consolas" w:eastAsia="Consolas" w:hAnsi="Consolas"/>
          <w:color w:val="6E1F2B"/>
          <w:sz w:val="18"/>
          <w:szCs w:val="18"/>
        </w:rPr>
        <w:t xml:space="preserve">LICENSE</w:t>
      </w:r>
      <w:r>
        <w:t xml:space="preserve">. Underlying data remains subject to its providers' terms, which are not superseded by anything here.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15. Limitations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Coverage is partial and uneven.</w:t>
            </w:r>
            <w:r>
              <w:t xml:space="preserve"> Many counties have never had a monitored site. Absence of data is not absence of transmission.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Sewered populations only.</w:t>
            </w:r>
            <w:r>
              <w:t xml:space="preserve"> Households on septic systems are invisible to the method regardless of how well a program is run.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Sewershed boundaries are not public.</w:t>
            </w:r>
            <w:r>
              <w:t xml:space="preserve"> CDC collects them for most sites but does not release them, so representativeness uses a county-level proxy.</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Levels are relative, not absolute.</w:t>
            </w:r>
            <w:r>
              <w:t xml:space="preserve"> A z-score cannot be converted into case counts.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Figures are revised.</w:t>
            </w:r>
            <w:r>
              <w:t xml:space="preserve"> CDC updates its datasets; numbers change between runs. Cite the run identifier.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Lead time is resolution-limited.</w:t>
            </w:r>
            <w:r>
              <w:t xml:space="preserve"> Weekly data cannot resolve a lead shorter than seven days.</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16. Change control</w:t>
      </w:r>
    </w:p>
    <w:p>
      <w:pPr>
        <w:spacing w:after="120" w:line="276"/>
      </w:pPr>
      <w:r>
        <w:t xml:space="preserve">Every run carries a run identifier and a data-through date shown in the site header. Each run is archived as a permanent release containing its tables, figures and export. The validation gate blocks publication on failure, so a published run has passed its checks or carries an explained warning.</w:t>
      </w:r>
    </w:p>
    <w:p>
      <w:pPr>
        <w:spacing w:after="120" w:line="276"/>
      </w:pPr>
      <w:r>
        <w:t xml:space="preserve">To reproduce any figure on this site, take the release matching its run identifier and re-run the export.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Dashboard Audit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qa0x6hzswa7wae0yivd-" Type="http://schemas.openxmlformats.org/officeDocument/2006/relationships/hyperlink" Target="https://nwgsgrid.com/" TargetMode="External"/><Relationship Id="rIdz3700ymm_7m4qcbstugd8"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Dashboard Audit</dc:title>
  <dc:creator>Victoria Love Franklin</dc:creator>
  <dc:description>NWGS Grid - Dashboard Audit. Generated from the repository and from a weekly run's export.</dc:description>
  <cp:lastModifiedBy>Victoria Love Franklin</cp:lastModifiedBy>
  <cp:revision>1</cp:revision>
  <dcterms:created xsi:type="dcterms:W3CDTF">2026-10-16T17:33:37.582Z</dcterms:created>
  <dcterms:modified xsi:type="dcterms:W3CDTF">2026-10-16T17:33:37.582Z</dcterms:modified>
</cp:coreProperties>
</file>

<file path=docProps/custom.xml><?xml version="1.0" encoding="utf-8"?>
<Properties xmlns="http://schemas.openxmlformats.org/officeDocument/2006/custom-properties" xmlns:vt="http://schemas.openxmlformats.org/officeDocument/2006/docPropsVTypes"/>
</file>