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Back End Reference</w:t>
      </w:r>
    </w:p>
    <w:p>
      <w:pPr>
        <w:spacing w:after="120" w:line="276"/>
      </w:pPr>
      <w:r>
        <w:t xml:space="preserve">The pipeline, the database, the automation and the secrets: everything behind the page.</w:t>
      </w:r>
    </w:p>
    <w:p>
      <w:pPr>
        <w:spacing w:after="120" w:line="276"/>
      </w:pPr>
      <w:r>
        <w:rPr>
          <w:b/>
          <w:bCs/>
        </w:rPr>
        <w:t xml:space="preserve">Live site:</w:t>
      </w:r>
      <w:r>
        <w:t xml:space="preserve"> </w:t>
      </w:r>
      <w:hyperlink w:history="1" r:id="rIdgqmp6fb2zgpci1nnr7qzs">
        <w:r>
          <w:rPr>
            <w:rStyle w:val="Hyperlink"/>
            <w:color w:val="1D4F91"/>
            <w:u w:val="single"/>
          </w:rPr>
          <w:t xml:space="preserve">nwgsgrid.com</w:t>
        </w:r>
      </w:hyperlink>
      <w:r>
        <w:t xml:space="preserve"> · </w:t>
      </w:r>
      <w:r>
        <w:rPr>
          <w:b/>
          <w:bCs/>
        </w:rPr>
        <w:t xml:space="preserve">Repository:</w:t>
      </w:r>
      <w:r>
        <w:t xml:space="preserve"> </w:t>
      </w:r>
      <w:hyperlink w:history="1" r:id="rIdizv1rmvcwgaj2tz3ql0gf">
        <w:r>
          <w:rPr>
            <w:rStyle w:val="Hyperlink"/>
            <w:color w:val="1D4F91"/>
            <w:u w:val="single"/>
          </w:rPr>
          <w:t xml:space="preserve">github.com/victorialovefranklin/nwgs-grid-site</w:t>
        </w:r>
      </w:hyperlink>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Generated:</w:t>
      </w:r>
      <w:r>
        <w:t xml:space="preserve"> 2026-10-16</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What runs where</w:t>
      </w:r>
    </w:p>
    <w:p>
      <w:pPr>
        <w:spacing w:after="120" w:line="276"/>
      </w:pPr>
      <w:r>
        <w:t xml:space="preserve">Nothing runs on a server that this project operates. There are three places code executes, and only one of them is live.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GitHub Actions</w:t>
            </w:r>
          </w:p>
        </w:tc>
        <w:tc>
          <w:tcPr>
            <w:tcW w:type="dxa" w:w="3089"/>
            <w:tcMar>
              <w:top w:type="dxa" w:w="60"/>
              <w:left w:type="dxa" w:w="108"/>
              <w:bottom w:type="dxa" w:w="60"/>
              <w:right w:type="dxa" w:w="108"/>
            </w:tcMar>
          </w:tcPr>
          <w:p>
            <w:pPr>
              <w:spacing w:after="0" w:line="240"/>
            </w:pPr>
            <w:r>
              <w:rPr>
                <w:sz w:val="18"/>
                <w:szCs w:val="18"/>
              </w:rPr>
              <w:t xml:space="preserve">Weekly, and on demand</w:t>
            </w:r>
          </w:p>
        </w:tc>
        <w:tc>
          <w:tcPr>
            <w:tcW w:type="dxa" w:w="3089"/>
            <w:tcMar>
              <w:top w:type="dxa" w:w="60"/>
              <w:left w:type="dxa" w:w="108"/>
              <w:bottom w:type="dxa" w:w="60"/>
              <w:right w:type="dxa" w:w="108"/>
            </w:tcMar>
          </w:tcPr>
          <w:p>
            <w:pPr>
              <w:spacing w:after="0" w:line="240"/>
            </w:pPr>
            <w:r>
              <w:rPr>
                <w:sz w:val="18"/>
                <w:szCs w:val="18"/>
              </w:rPr>
              <w:t xml:space="preserve">The whole pipeline: acquisition, analysis, validation, export, build, release, email.</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Live, from the browser</w:t>
            </w:r>
          </w:p>
        </w:tc>
        <w:tc>
          <w:tcPr>
            <w:tcW w:type="dxa" w:w="3089"/>
            <w:tcMar>
              <w:top w:type="dxa" w:w="60"/>
              <w:left w:type="dxa" w:w="108"/>
              <w:bottom w:type="dxa" w:w="60"/>
              <w:right w:type="dxa" w:w="108"/>
            </w:tcMar>
          </w:tcPr>
          <w:p>
            <w:pPr>
              <w:spacing w:after="0" w:line="240"/>
            </w:pPr>
            <w:r>
              <w:rPr>
                <w:sz w:val="18"/>
                <w:szCs w:val="18"/>
              </w:rPr>
              <w:t xml:space="preserve">Sign-in and saved alert rules. The only runtime backend.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GitHub Pages</w:t>
            </w:r>
          </w:p>
        </w:tc>
        <w:tc>
          <w:tcPr>
            <w:tcW w:type="dxa" w:w="3089"/>
            <w:tcMar>
              <w:top w:type="dxa" w:w="60"/>
              <w:left w:type="dxa" w:w="108"/>
              <w:bottom w:type="dxa" w:w="60"/>
              <w:right w:type="dxa" w:w="108"/>
            </w:tcMar>
          </w:tcPr>
          <w:p>
            <w:pPr>
              <w:spacing w:after="0" w:line="240"/>
            </w:pPr>
            <w:r>
              <w:rPr>
                <w:sz w:val="18"/>
                <w:szCs w:val="18"/>
              </w:rPr>
              <w:t xml:space="preserve">Live, static</w:t>
            </w:r>
          </w:p>
        </w:tc>
        <w:tc>
          <w:tcPr>
            <w:tcW w:type="dxa" w:w="3089"/>
            <w:tcMar>
              <w:top w:type="dxa" w:w="60"/>
              <w:left w:type="dxa" w:w="108"/>
              <w:bottom w:type="dxa" w:w="60"/>
              <w:right w:type="dxa" w:w="108"/>
            </w:tcMar>
          </w:tcPr>
          <w:p>
            <w:pPr>
              <w:spacing w:after="0" w:line="240"/>
            </w:pPr>
            <w:r>
              <w:rPr>
                <w:sz w:val="18"/>
                <w:szCs w:val="18"/>
              </w:rPr>
              <w:t xml:space="preserve">Serves the built page. No server-side execution.</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Languages and tooling</w:t>
      </w:r>
    </w:p>
    <w:p>
      <w:pPr>
        <w:spacing w:after="120" w:line="276"/>
      </w:pPr>
      <w:r>
        <w:t xml:space="preserve">Python on the back end, plain HTML, CSS and JavaScript on the front, SQL for the database and YAML for the automation. No framework on either side and nothing compiled: every line below is read as it was written.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Files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Lines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Python</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08"/>
            <w:tcMar>
              <w:top w:type="dxa" w:w="60"/>
              <w:left w:type="dxa" w:w="108"/>
              <w:bottom w:type="dxa" w:w="60"/>
              <w:right w:type="dxa" w:w="108"/>
            </w:tcMar>
          </w:tcPr>
          <w:p>
            <w:pPr>
              <w:spacing w:after="0" w:line="240"/>
            </w:pPr>
            <w:r>
              <w:rPr>
                <w:sz w:val="18"/>
                <w:szCs w:val="18"/>
              </w:rPr>
              <w:t xml:space="preserve">10,623</w:t>
            </w:r>
          </w:p>
        </w:tc>
        <w:tc>
          <w:tcPr>
            <w:tcW w:type="dxa" w:w="2310"/>
            <w:tcMar>
              <w:top w:type="dxa" w:w="60"/>
              <w:left w:type="dxa" w:w="108"/>
              <w:bottom w:type="dxa" w:w="60"/>
              <w:right w:type="dxa" w:w="108"/>
            </w:tcMar>
          </w:tcPr>
          <w:p>
            <w:pPr>
              <w:spacing w:after="0" w:line="240"/>
            </w:pPr>
            <w:r>
              <w:rPr>
                <w:sz w:val="18"/>
                <w:szCs w:val="18"/>
              </w:rPr>
              <w:t xml:space="preserve">Pipeline, export, validation, site build, alert email, documentation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HTML, CSS, JavaScript</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2,543</w:t>
            </w:r>
          </w:p>
        </w:tc>
        <w:tc>
          <w:tcPr>
            <w:tcW w:type="dxa" w:w="2310"/>
            <w:tcMar>
              <w:top w:type="dxa" w:w="60"/>
              <w:left w:type="dxa" w:w="108"/>
              <w:bottom w:type="dxa" w:w="60"/>
              <w:right w:type="dxa" w:w="108"/>
            </w:tcMar>
          </w:tcPr>
          <w:p>
            <w:pPr>
              <w:spacing w:after="0" w:line="240"/>
            </w:pPr>
            <w:r>
              <w:rPr>
                <w:sz w:val="18"/>
                <w:szCs w:val="18"/>
              </w:rPr>
              <w:t xml:space="preserve">The published page: markup, styles and script in one file</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Markdown</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08"/>
            <w:tcMar>
              <w:top w:type="dxa" w:w="60"/>
              <w:left w:type="dxa" w:w="108"/>
              <w:bottom w:type="dxa" w:w="60"/>
              <w:right w:type="dxa" w:w="108"/>
            </w:tcMar>
          </w:tcPr>
          <w:p>
            <w:pPr>
              <w:spacing w:after="0" w:line="240"/>
            </w:pPr>
            <w:r>
              <w:rPr>
                <w:sz w:val="18"/>
                <w:szCs w:val="18"/>
              </w:rPr>
              <w:t xml:space="preserve">2,116</w:t>
            </w:r>
          </w:p>
        </w:tc>
        <w:tc>
          <w:tcPr>
            <w:tcW w:type="dxa" w:w="2310"/>
            <w:tcMar>
              <w:top w:type="dxa" w:w="60"/>
              <w:left w:type="dxa" w:w="108"/>
              <w:bottom w:type="dxa" w:w="60"/>
              <w:right w:type="dxa" w:w="108"/>
            </w:tcMar>
          </w:tcPr>
          <w:p>
            <w:pPr>
              <w:spacing w:after="0" w:line="240"/>
            </w:pPr>
            <w:r>
              <w:rPr>
                <w:sz w:val="18"/>
                <w:szCs w:val="18"/>
              </w:rPr>
              <w:t xml:space="preserve">Documentation sources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JavaScript (Node)</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329</w:t>
            </w:r>
          </w:p>
        </w:tc>
        <w:tc>
          <w:tcPr>
            <w:tcW w:type="dxa" w:w="2310"/>
            <w:tcMar>
              <w:top w:type="dxa" w:w="60"/>
              <w:left w:type="dxa" w:w="108"/>
              <w:bottom w:type="dxa" w:w="60"/>
              <w:right w:type="dxa" w:w="108"/>
            </w:tcMar>
          </w:tcPr>
          <w:p>
            <w:pPr>
              <w:spacing w:after="0" w:line="240"/>
            </w:pPr>
            <w:r>
              <w:rPr>
                <w:sz w:val="18"/>
                <w:szCs w:val="18"/>
              </w:rPr>
              <w:t xml:space="preserve">Markdown to Word conversion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YAML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184</w:t>
            </w:r>
          </w:p>
        </w:tc>
        <w:tc>
          <w:tcPr>
            <w:tcW w:type="dxa" w:w="2310"/>
            <w:tcMar>
              <w:top w:type="dxa" w:w="60"/>
              <w:left w:type="dxa" w:w="108"/>
              <w:bottom w:type="dxa" w:w="60"/>
              <w:right w:type="dxa" w:w="108"/>
            </w:tcMar>
          </w:tcPr>
          <w:p>
            <w:pPr>
              <w:spacing w:after="0" w:line="240"/>
            </w:pPr>
            <w:r>
              <w:rPr>
                <w:sz w:val="18"/>
                <w:szCs w:val="18"/>
              </w:rPr>
              <w:t xml:space="preserve">GitHub Actions workflow</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SQL (PostgreSQL)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120</w:t>
            </w:r>
          </w:p>
        </w:tc>
        <w:tc>
          <w:tcPr>
            <w:tcW w:type="dxa" w:w="2310"/>
            <w:tcMar>
              <w:top w:type="dxa" w:w="60"/>
              <w:left w:type="dxa" w:w="108"/>
              <w:bottom w:type="dxa" w:w="60"/>
              <w:right w:type="dxa" w:w="108"/>
            </w:tcMar>
          </w:tcPr>
          <w:p>
            <w:pPr>
              <w:spacing w:after="0" w:line="240"/>
            </w:pPr>
            <w:r>
              <w:rPr>
                <w:sz w:val="18"/>
                <w:szCs w:val="18"/>
              </w:rPr>
              <w:t xml:space="preserve">Database tables and row-level security</w:t>
            </w:r>
          </w:p>
        </w:tc>
      </w:tr>
    </w:tbl>
    <w:p>
      <w:pPr>
        <w:spacing w:after="160"/>
      </w:pPr>
    </w:p>
    <w:p>
      <w:pPr>
        <w:spacing w:after="120" w:line="276"/>
      </w:pPr>
      <w:r>
        <w:t xml:space="preserve">The workflow pins Python </w:t>
      </w:r>
      <w:r>
        <w:rPr>
          <w:b/>
          <w:bCs/>
        </w:rPr>
        <w:t xml:space="preserve">3.11</w:t>
      </w:r>
      <w:r>
        <w:t xml:space="preserve">. Pandas is held below version 3 deliberately: the pipeline was written against pandas 2 and version 3 changes behaviour it depends on.</w:t>
      </w:r>
    </w:p>
    <w:p>
      <w:pPr>
        <w:pStyle w:val="Heading2"/>
        <w:spacing w:after="120" w:before="240"/>
      </w:pPr>
      <w:r>
        <w:rPr>
          <w:b/>
          <w:bCs/>
          <w:color w:val="6E1F2B"/>
          <w:sz w:val="24"/>
          <w:szCs w:val="24"/>
        </w:rPr>
        <w:t xml:space="preserve">2.1 Python packages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Package</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Needed by</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2308"/>
            <w:tcMar>
              <w:top w:type="dxa" w:w="60"/>
              <w:left w:type="dxa" w:w="108"/>
              <w:bottom w:type="dxa" w:w="60"/>
              <w:right w:type="dxa" w:w="108"/>
            </w:tcMar>
          </w:tcPr>
          <w:p>
            <w:pPr>
              <w:spacing w:after="0" w:line="240"/>
            </w:pPr>
            <w:r>
              <w:rPr>
                <w:sz w:val="18"/>
                <w:szCs w:val="18"/>
              </w:rPr>
              <w:t xml:space="preserve">&gt;=2.2,&lt;3</w:t>
            </w:r>
          </w:p>
        </w:tc>
        <w:tc>
          <w:tcPr>
            <w:tcW w:type="dxa" w:w="2308"/>
            <w:tcMar>
              <w:top w:type="dxa" w:w="60"/>
              <w:left w:type="dxa" w:w="108"/>
              <w:bottom w:type="dxa" w:w="60"/>
              <w:right w:type="dxa" w:w="108"/>
            </w:tcMar>
          </w:tcPr>
          <w:p>
            <w:pPr>
              <w:spacing w:after="0" w:line="240"/>
            </w:pPr>
            <w:r>
              <w:rPr>
                <w:sz w:val="18"/>
                <w:szCs w:val="18"/>
              </w:rPr>
              <w:t xml:space="preserve">Site build and export</w:t>
            </w:r>
          </w:p>
        </w:tc>
        <w:tc>
          <w:tcPr>
            <w:tcW w:type="dxa" w:w="2310"/>
            <w:tcMar>
              <w:top w:type="dxa" w:w="60"/>
              <w:left w:type="dxa" w:w="108"/>
              <w:bottom w:type="dxa" w:w="60"/>
              <w:right w:type="dxa" w:w="108"/>
            </w:tcMar>
          </w:tcPr>
          <w:p>
            <w:pPr>
              <w:spacing w:after="0" w:line="240"/>
            </w:pPr>
            <w:r>
              <w:rPr>
                <w:sz w:val="18"/>
                <w:szCs w:val="18"/>
              </w:rPr>
              <w:t xml:space="preserve">pipeline was written for pandas 2 (Colab); pandas 3 breaks it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2308"/>
            <w:tcMar>
              <w:top w:type="dxa" w:w="60"/>
              <w:left w:type="dxa" w:w="108"/>
              <w:bottom w:type="dxa" w:w="60"/>
              <w:right w:type="dxa" w:w="108"/>
            </w:tcMar>
          </w:tcPr>
          <w:p>
            <w:pPr>
              <w:spacing w:after="0" w:line="240"/>
            </w:pPr>
            <w:r>
              <w:rPr>
                <w:sz w:val="18"/>
                <w:szCs w:val="18"/>
              </w:rPr>
              <w:t xml:space="preserve">&gt;=1.26</w:t>
            </w:r>
          </w:p>
        </w:tc>
        <w:tc>
          <w:tcPr>
            <w:tcW w:type="dxa" w:w="2308"/>
            <w:tcMar>
              <w:top w:type="dxa" w:w="60"/>
              <w:left w:type="dxa" w:w="108"/>
              <w:bottom w:type="dxa" w:w="60"/>
              <w:right w:type="dxa" w:w="108"/>
            </w:tcMar>
          </w:tcPr>
          <w:p>
            <w:pPr>
              <w:spacing w:after="0" w:line="240"/>
            </w:pPr>
            <w:r>
              <w:rPr>
                <w:sz w:val="18"/>
                <w:szCs w:val="18"/>
              </w:rPr>
              <w:t xml:space="preserve">Site build and export</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bl>
    <w:p>
      <w:pPr>
        <w:spacing w:after="160"/>
      </w:pPr>
    </w:p>
    <w:p>
      <w:pPr>
        <w:spacing w:after="120" w:line="276"/>
      </w:pPr>
      <w:r>
        <w:t xml:space="preserve">Installed by the workflow with </w:t>
      </w:r>
      <w:r>
        <w:rPr>
          <w:rFonts w:ascii="Consolas" w:cs="Consolas" w:eastAsia="Consolas" w:hAnsi="Consolas"/>
          <w:color w:val="6E1F2B"/>
          <w:sz w:val="18"/>
          <w:szCs w:val="18"/>
        </w:rPr>
        <w:t xml:space="preserve">pip install -r requirements.txt</w:t>
      </w:r>
      <w:r>
        <w:t xml:space="preserve">. Nothing is installed ad hoc inside a run, so a run's environment is the file.</w:t>
      </w:r>
    </w:p>
    <w:p>
      <w:pPr>
        <w:pStyle w:val="Heading2"/>
        <w:spacing w:after="120" w:before="240"/>
      </w:pPr>
      <w:r>
        <w:rPr>
          <w:b/>
          <w:bCs/>
          <w:color w:val="6E1F2B"/>
          <w:sz w:val="24"/>
          <w:szCs w:val="24"/>
        </w:rPr>
        <w:t xml:space="preserve">2.2 Node packages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Package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docx</w:t>
            </w:r>
          </w:p>
        </w:tc>
        <w:tc>
          <w:tcPr>
            <w:tcW w:type="dxa" w:w="6178"/>
            <w:tcMar>
              <w:top w:type="dxa" w:w="60"/>
              <w:left w:type="dxa" w:w="108"/>
              <w:bottom w:type="dxa" w:w="60"/>
              <w:right w:type="dxa" w:w="108"/>
            </w:tcMar>
          </w:tcPr>
          <w:p>
            <w:pPr>
              <w:spacing w:after="0" w:line="240"/>
            </w:pPr>
            <w:r>
              <w:rPr>
                <w:sz w:val="18"/>
                <w:szCs w:val="18"/>
              </w:rPr>
              <w:t xml:space="preserve">Renders a project Markdown document as Word, through </w:t>
            </w:r>
            <w:r>
              <w:rPr>
                <w:rFonts w:ascii="Consolas" w:cs="Consolas" w:eastAsia="Consolas" w:hAnsi="Consolas"/>
                <w:color w:val="6E1F2B"/>
                <w:sz w:val="18"/>
                <w:szCs w:val="18"/>
              </w:rPr>
              <w:t xml:space="preserve">scripts/md_to_docx.js</w:t>
            </w:r>
            <w:r>
              <w:rPr>
                <w:sz w:val="18"/>
                <w:szCs w:val="18"/>
              </w:rPr>
              <w:t xml:space="preserve">. Needed only when regenerating the Word versions; the weekly run does not use it.</w:t>
            </w:r>
          </w:p>
        </w:tc>
      </w:tr>
    </w:tbl>
    <w:p>
      <w:pPr>
        <w:spacing w:after="160"/>
      </w:pPr>
    </w:p>
    <w:p>
      <w:pPr>
        <w:pStyle w:val="Heading2"/>
        <w:spacing w:after="120" w:before="240"/>
      </w:pPr>
      <w:r>
        <w:rPr>
          <w:b/>
          <w:bCs/>
          <w:color w:val="6E1F2B"/>
          <w:sz w:val="24"/>
          <w:szCs w:val="24"/>
        </w:rPr>
        <w:t xml:space="preserve">2.3 Browser libraries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Origin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3dmol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3089"/>
            <w:tcMar>
              <w:top w:type="dxa" w:w="60"/>
              <w:left w:type="dxa" w:w="108"/>
              <w:bottom w:type="dxa" w:w="60"/>
              <w:right w:type="dxa" w:w="108"/>
            </w:tcMar>
          </w:tcPr>
          <w:p>
            <w:pPr>
              <w:spacing w:after="0" w:line="240"/>
            </w:pPr>
            <w:r>
              <w:rPr>
                <w:sz w:val="18"/>
                <w:szCs w:val="18"/>
              </w:rPr>
              <w:t xml:space="preserve">cdn.jsdelivr.net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supabase-js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3089"/>
            <w:tcMar>
              <w:top w:type="dxa" w:w="60"/>
              <w:left w:type="dxa" w:w="108"/>
              <w:bottom w:type="dxa" w:w="60"/>
              <w:right w:type="dxa" w:w="108"/>
            </w:tcMar>
          </w:tcPr>
          <w:p>
            <w:pPr>
              <w:spacing w:after="0" w:line="240"/>
            </w:pPr>
            <w:r>
              <w:rPr>
                <w:sz w:val="18"/>
                <w:szCs w:val="18"/>
              </w:rPr>
              <w:t xml:space="preserve">cdn.jsdelivr.net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d3</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3089"/>
            <w:tcMar>
              <w:top w:type="dxa" w:w="60"/>
              <w:left w:type="dxa" w:w="108"/>
              <w:bottom w:type="dxa" w:w="60"/>
              <w:right w:type="dxa" w:w="108"/>
            </w:tcMar>
          </w:tcPr>
          <w:p>
            <w:pPr>
              <w:spacing w:after="0" w:line="240"/>
            </w:pPr>
            <w:r>
              <w:rPr>
                <w:sz w:val="18"/>
                <w:szCs w:val="18"/>
              </w:rPr>
              <w:t xml:space="preserve">cdnjs.cloudflare.com</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topojson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3089"/>
            <w:tcMar>
              <w:top w:type="dxa" w:w="60"/>
              <w:left w:type="dxa" w:w="108"/>
              <w:bottom w:type="dxa" w:w="60"/>
              <w:right w:type="dxa" w:w="108"/>
            </w:tcMar>
          </w:tcPr>
          <w:p>
            <w:pPr>
              <w:spacing w:after="0" w:line="240"/>
            </w:pPr>
            <w:r>
              <w:rPr>
                <w:sz w:val="18"/>
                <w:szCs w:val="18"/>
              </w:rPr>
              <w:t xml:space="preserve">cdnjs.cloudflare.com</w:t>
            </w:r>
          </w:p>
        </w:tc>
      </w:tr>
    </w:tbl>
    <w:p>
      <w:pPr>
        <w:spacing w:after="160"/>
      </w:pPr>
    </w:p>
    <w:p>
      <w:pPr>
        <w:spacing w:after="120" w:line="276"/>
      </w:pPr>
      <w:r>
        <w:t xml:space="preserve">Loaded from a CDN at a pinned version. None is bundled, and the page's data, tables and text render without any of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The pipeline</w:t>
      </w:r>
    </w:p>
    <w:p>
      <w:pPr>
        <w:spacing w:after="120" w:line="276"/>
      </w:pPr>
      <w:r>
        <w:rPr>
          <w:rFonts w:ascii="Consolas" w:cs="Consolas" w:eastAsia="Consolas" w:hAnsi="Consolas"/>
          <w:color w:val="6E1F2B"/>
          <w:sz w:val="18"/>
          <w:szCs w:val="18"/>
        </w:rPr>
        <w:t xml:space="preserve">pipeline/nwgs_pipeline.py</w:t>
      </w:r>
      <w:r>
        <w:t xml:space="preserve"> is a single module of about 8,773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are off unless explicitly enabled, so they cannot silently change a published figure.</w:t>
      </w:r>
    </w:p>
    <w:p>
      <w:pPr>
        <w:pStyle w:val="Heading2"/>
        <w:spacing w:after="120" w:before="240"/>
      </w:pPr>
      <w:r>
        <w:rPr>
          <w:b/>
          <w:bCs/>
          <w:color w:val="6E1F2B"/>
          <w:sz w:val="24"/>
          <w:szCs w:val="24"/>
        </w:rPr>
        <w:t xml:space="preserve">3.1 Upstream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Socrata ID</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Rows in this run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SARS-CoV-2</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3089"/>
            <w:tcMar>
              <w:top w:type="dxa" w:w="60"/>
              <w:left w:type="dxa" w:w="108"/>
              <w:bottom w:type="dxa" w:w="60"/>
              <w:right w:type="dxa" w:w="108"/>
            </w:tcMar>
          </w:tcPr>
          <w:p>
            <w:pPr>
              <w:spacing w:after="0" w:line="240"/>
            </w:pPr>
            <w:r>
              <w:rPr>
                <w:sz w:val="18"/>
                <w:szCs w:val="18"/>
              </w:rPr>
              <w:t xml:space="preserve">509,323</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Influenza 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3089"/>
            <w:tcMar>
              <w:top w:type="dxa" w:w="60"/>
              <w:left w:type="dxa" w:w="108"/>
              <w:bottom w:type="dxa" w:w="60"/>
              <w:right w:type="dxa" w:w="108"/>
            </w:tcMar>
          </w:tcPr>
          <w:p>
            <w:pPr>
              <w:spacing w:after="0" w:line="240"/>
            </w:pPr>
            <w:r>
              <w:rPr>
                <w:sz w:val="18"/>
                <w:szCs w:val="18"/>
              </w:rPr>
              <w:t xml:space="preserve">321,370</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RSV</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3089"/>
            <w:tcMar>
              <w:top w:type="dxa" w:w="60"/>
              <w:left w:type="dxa" w:w="108"/>
              <w:bottom w:type="dxa" w:w="60"/>
              <w:right w:type="dxa" w:w="108"/>
            </w:tcMar>
          </w:tcPr>
          <w:p>
            <w:pPr>
              <w:spacing w:after="0" w:line="240"/>
            </w:pPr>
            <w:r>
              <w:rPr>
                <w:sz w:val="18"/>
                <w:szCs w:val="18"/>
              </w:rPr>
              <w:t xml:space="preserve">304,506</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Influenza A(H5)</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3089"/>
            <w:tcMar>
              <w:top w:type="dxa" w:w="60"/>
              <w:left w:type="dxa" w:w="108"/>
              <w:bottom w:type="dxa" w:w="60"/>
              <w:right w:type="dxa" w:w="108"/>
            </w:tcMar>
          </w:tcPr>
          <w:p>
            <w:pPr>
              <w:spacing w:after="0" w:line="240"/>
            </w:pPr>
            <w:r>
              <w:rPr>
                <w:sz w:val="18"/>
                <w:szCs w:val="18"/>
              </w:rPr>
              <w:t xml:space="preserve">120,390</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Mpox</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3089"/>
            <w:tcMar>
              <w:top w:type="dxa" w:w="60"/>
              <w:left w:type="dxa" w:w="108"/>
              <w:bottom w:type="dxa" w:w="60"/>
              <w:right w:type="dxa" w:w="108"/>
            </w:tcMar>
          </w:tcPr>
          <w:p>
            <w:pPr>
              <w:spacing w:after="0" w:line="240"/>
            </w:pPr>
            <w:r>
              <w:rPr>
                <w:sz w:val="18"/>
                <w:szCs w:val="18"/>
              </w:rPr>
              <w:t xml:space="preserve">302,244</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Measles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3089"/>
            <w:tcMar>
              <w:top w:type="dxa" w:w="60"/>
              <w:left w:type="dxa" w:w="108"/>
              <w:bottom w:type="dxa" w:w="60"/>
              <w:right w:type="dxa" w:w="108"/>
            </w:tcMar>
          </w:tcPr>
          <w:p>
            <w:pPr>
              <w:spacing w:after="0" w:line="240"/>
            </w:pPr>
            <w:r>
              <w:rPr>
                <w:sz w:val="18"/>
                <w:szCs w:val="18"/>
              </w:rPr>
              <w:t xml:space="preserve">72,845</w:t>
            </w:r>
          </w:p>
        </w:tc>
      </w:tr>
    </w:tbl>
    <w:p>
      <w:pPr>
        <w:spacing w:after="160"/>
      </w:pPr>
    </w:p>
    <w:p>
      <w:pPr>
        <w:spacing w:after="120" w:line="276"/>
      </w:pPr>
      <w:r>
        <w:t xml:space="preserve">All are public CDC datasets on </w:t>
      </w:r>
      <w:r>
        <w:rPr>
          <w:rFonts w:ascii="Consolas" w:cs="Consolas" w:eastAsia="Consolas" w:hAnsi="Consolas"/>
          <w:color w:val="6E1F2B"/>
          <w:sz w:val="18"/>
          <w:szCs w:val="18"/>
        </w:rPr>
        <w:t xml:space="preserve">data.cdc.gov</w:t>
      </w:r>
      <w:r>
        <w:t xml:space="preserve">. Additional context comes from the US Census Bureau (county boundaries), CDC/ATSDR (Social Vulnerability Index), CDC PLACES, NCBI (genome records), RCSB PDB and UniProt (structures and annotations), the World Bank (sanitation and income) and WHO/UNICEF JMP (sanitation).</w:t>
      </w:r>
    </w:p>
    <w:p>
      <w:pPr>
        <w:pStyle w:val="Heading2"/>
        <w:spacing w:after="120" w:before="240"/>
      </w:pPr>
      <w:r>
        <w:rPr>
          <w:b/>
          <w:bCs/>
          <w:color w:val="6E1F2B"/>
          <w:sz w:val="24"/>
          <w:szCs w:val="24"/>
        </w:rPr>
        <w:t xml:space="preserve">3.2 The validation gate</w:t>
      </w:r>
    </w:p>
    <w:p>
      <w:pPr>
        <w:spacing w:after="120" w:line="276"/>
      </w:pPr>
      <w:r>
        <w:t xml:space="preserve">The export step runs the gate. A blocking failure stops the job, so no site update, no release and no email follow, and the previous week stays published.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on the Audit log.</w:t>
      </w:r>
    </w:p>
    <w:p>
      <w:pPr>
        <w:spacing w:after="120" w:line="276"/>
      </w:pPr>
      <w:r>
        <w:t xml:space="preserve">This is the single most important property of the system: </w:t>
      </w:r>
      <w:r>
        <w:rPr>
          <w:b/>
          <w:bCs/>
        </w:rPr>
        <w:t xml:space="preserve">a run that cannot do its job publishes nothing rather than publishing something wrong.</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Database</w:t>
      </w:r>
    </w:p>
    <w:p>
      <w:pPr>
        <w:spacing w:after="120" w:line="276"/>
      </w:pPr>
      <w:r>
        <w:t xml:space="preserve">Supabase is the only part of this system that is live while someone is reading the page. Everything else was computed days earlier and frozen.</w:t>
      </w:r>
    </w:p>
    <w:p>
      <w:pPr>
        <w:pStyle w:val="Heading2"/>
        <w:spacing w:after="120" w:before="240"/>
      </w:pPr>
      <w:r>
        <w:rPr>
          <w:b/>
          <w:bCs/>
          <w:color w:val="6E1F2B"/>
          <w:sz w:val="24"/>
          <w:szCs w:val="24"/>
        </w:rPr>
        <w:t xml:space="preserve">4.1 Tables</w:t>
      </w:r>
    </w:p>
    <w:p>
      <w:pPr>
        <w:spacing w:after="120" w:line="276"/>
      </w:pPr>
      <w:r>
        <w:t xml:space="preserve">Declared in </w:t>
      </w:r>
      <w:r>
        <w:rPr>
          <w:rFonts w:ascii="Consolas" w:cs="Consolas" w:eastAsia="Consolas" w:hAnsi="Consolas"/>
          <w:color w:val="6E1F2B"/>
          <w:sz w:val="18"/>
          <w:szCs w:val="18"/>
        </w:rPr>
        <w:t xml:space="preserve">supabase/schema.sql</w:t>
      </w:r>
      <w:r>
        <w:t xml:space="preserve">. Row-level security is enabled on every one.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profiles</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Account record.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Yes</w:t>
            </w:r>
          </w:p>
        </w:tc>
        <w:tc>
          <w:tcPr>
            <w:tcW w:type="dxa" w:w="3089"/>
            <w:tcMar>
              <w:top w:type="dxa" w:w="60"/>
              <w:left w:type="dxa" w:w="108"/>
              <w:bottom w:type="dxa" w:w="60"/>
              <w:right w:type="dxa" w:w="108"/>
            </w:tcMar>
          </w:tcPr>
          <w:p>
            <w:pPr>
              <w:spacing w:after="0" w:line="240"/>
            </w:pPr>
            <w:r>
              <w:rPr>
                <w:sz w:val="18"/>
                <w:szCs w:val="18"/>
              </w:rPr>
              <w:t xml:space="preserve">Saved alert rules. Select, insert, update and delete, restricted to the owner.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 only</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 only</w:t>
            </w:r>
          </w:p>
        </w:tc>
        <w:tc>
          <w:tcPr>
            <w:tcW w:type="dxa" w:w="3089"/>
            <w:tcMar>
              <w:top w:type="dxa" w:w="60"/>
              <w:left w:type="dxa" w:w="108"/>
              <w:bottom w:type="dxa" w:w="60"/>
              <w:right w:type="dxa" w:w="108"/>
            </w:tcMar>
          </w:tcPr>
          <w:p>
            <w:pPr>
              <w:spacing w:after="0" w:line="240"/>
            </w:pPr>
            <w:r>
              <w:rPr>
                <w:sz w:val="18"/>
                <w:szCs w:val="18"/>
              </w:rPr>
              <w:t xml:space="preserve">Licence request form.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pipeline_runs</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Run metadata written by the workflow.</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alert_log</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Record of alert emails sent.</w:t>
            </w:r>
          </w:p>
        </w:tc>
      </w:tr>
    </w:tbl>
    <w:p>
      <w:pPr>
        <w:spacing w:after="160"/>
      </w:pPr>
    </w:p>
    <w:p>
      <w:pPr>
        <w:spacing w:after="120" w:line="276"/>
      </w:pPr>
      <w:r>
        <w:t xml:space="preserve">Authentication is passwordless: the user receives a one-time sign-in link. No password is stored or transmitted.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Automation</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actions/checkout@v5</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actions/setup-python@v6</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5.1.</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5.2.</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5.1 Why the forecast ledger is committed back</w:t>
      </w:r>
    </w:p>
    <w:p>
      <w:pPr>
        <w:spacing w:after="120" w:line="276"/>
      </w:pPr>
      <w:r>
        <w:t xml:space="preserve">The runner is destroyed after each run, so a forecast written during a run would vanish with it. The workflow commits the updated ledger to the repository, tagged </w:t>
      </w:r>
      <w:r>
        <w:rPr>
          <w:rFonts w:ascii="Consolas" w:cs="Consolas" w:eastAsia="Consolas" w:hAnsi="Consolas"/>
          <w:color w:val="6E1F2B"/>
          <w:sz w:val="18"/>
          <w:szCs w:val="18"/>
        </w:rPr>
        <w:t xml:space="preserve">[skip ci]</w:t>
      </w:r>
      <w:r>
        <w:t xml:space="preserve">. The value is not the file but the commit timestamp: git history is the evidence that each prediction was recorded </w:t>
      </w:r>
      <w:r>
        <w:rPr>
          <w:b/>
          <w:bCs/>
        </w:rPr>
        <w:t xml:space="preserve">before</w:t>
      </w:r>
      <w:r>
        <w:t xml:space="preserve"> the week it predicted. Without that, the forecast scoreboard would be unfalsifiable.</w:t>
      </w:r>
    </w:p>
    <w:p>
      <w:pPr>
        <w:pStyle w:val="Heading2"/>
        <w:spacing w:after="120" w:before="240"/>
      </w:pPr>
      <w:r>
        <w:rPr>
          <w:b/>
          <w:bCs/>
          <w:color w:val="6E1F2B"/>
          <w:sz w:val="24"/>
          <w:szCs w:val="24"/>
        </w:rPr>
        <w:t xml:space="preserve">5.2 Releases</w:t>
      </w:r>
    </w:p>
    <w:p>
      <w:pPr>
        <w:spacing w:after="120" w:line="276"/>
      </w:pPr>
      <w:r>
        <w:t xml:space="preserve">Every successful run publishes a release tagged </w:t>
      </w:r>
      <w:r>
        <w:rPr>
          <w:rFonts w:ascii="Consolas" w:cs="Consolas" w:eastAsia="Consolas" w:hAnsi="Consolas"/>
          <w:color w:val="6E1F2B"/>
          <w:sz w:val="18"/>
          <w:szCs w:val="18"/>
        </w:rPr>
        <w:t xml:space="preserve">&lt;run_id&gt;-r&lt;run_number&gt;</w:t>
      </w:r>
      <w:r>
        <w:t xml:space="preserve"> with the tables, figures, app export, manifest and full log. CDC revises its data continuously, so a figure is only reproducible against the release it came from.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15 files</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w:t>
            </w:r>
          </w:p>
        </w:tc>
        <w:tc>
          <w:tcPr>
            <w:tcW w:type="dxa" w:w="3089"/>
            <w:tcMar>
              <w:top w:type="dxa" w:w="60"/>
              <w:left w:type="dxa" w:w="108"/>
              <w:bottom w:type="dxa" w:w="60"/>
              <w:right w:type="dxa" w:w="108"/>
            </w:tcMar>
          </w:tcPr>
          <w:p>
            <w:pPr>
              <w:spacing w:after="0" w:line="240"/>
            </w:pPr>
            <w:r>
              <w:rPr>
                <w:sz w:val="18"/>
                <w:szCs w:val="18"/>
              </w:rPr>
              <w:t xml:space="preserve">4 files</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build_docs.py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doc_columns.py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12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10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.gitattributes</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7.1.</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11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scripts/build_docs.py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scripts/doc_columns.py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7.1 Deliberately excluded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references/pdfs/*</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!references/pdfs/.gitkeep</w:t>
            </w:r>
          </w:p>
        </w:tc>
        <w:tc>
          <w:tcPr>
            <w:tcW w:type="dxa" w:w="6178"/>
            <w:tcMar>
              <w:top w:type="dxa" w:w="60"/>
              <w:left w:type="dxa" w:w="108"/>
              <w:bottom w:type="dxa" w:w="60"/>
              <w:right w:type="dxa" w:w="108"/>
            </w:tcMar>
          </w:tcPr>
          <w:p>
            <w:pPr>
              <w:spacing w:after="0" w:line="240"/>
            </w:pPr>
            <w:r>
              <w:rPr>
                <w:sz w:val="18"/>
                <w:szCs w:val="18"/>
              </w:rPr>
              <w:t xml:space="preserve"/>
            </w:r>
          </w:p>
        </w:tc>
      </w:tr>
    </w:tbl>
    <w:p>
      <w:pPr>
        <w:spacing w:after="160"/>
      </w:pPr>
    </w:p>
    <w:p>
      <w:pPr>
        <w:spacing w:after="120" w:line="276"/>
      </w:pPr>
      <w:r>
        <w:t xml:space="preserve">Build outputs are excluded because they are rebuilt by every run, and a copy committed by hand would be a second, unversioned source of truth.</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Back End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gqmp6fb2zgpci1nnr7qzs" Type="http://schemas.openxmlformats.org/officeDocument/2006/relationships/hyperlink" Target="https://nwgsgrid.com/" TargetMode="External"/><Relationship Id="rIdizv1rmvcwgaj2tz3ql0gf"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Back End Reference</dc:title>
  <dc:creator>Victoria Love Franklin</dc:creator>
  <dc:description>NWGS Grid - Back End Reference. Generated from the repository and from a weekly run's export.</dc:description>
  <cp:lastModifiedBy>Victoria Love Franklin</cp:lastModifiedBy>
  <cp:revision>1</cp:revision>
  <dcterms:created xsi:type="dcterms:W3CDTF">2026-10-16T15:47:26.969Z</dcterms:created>
  <dcterms:modified xsi:type="dcterms:W3CDTF">2026-10-16T15:47:26.970Z</dcterms:modified>
</cp:coreProperties>
</file>

<file path=docProps/custom.xml><?xml version="1.0" encoding="utf-8"?>
<Properties xmlns="http://schemas.openxmlformats.org/officeDocument/2006/custom-properties" xmlns:vt="http://schemas.openxmlformats.org/officeDocument/2006/docPropsVTypes"/>
</file>