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User Guide</w:t>
      </w:r>
    </w:p>
    <w:p>
      <w:pPr>
        <w:spacing w:after="120" w:line="276"/>
      </w:pPr>
      <w:r>
        <w:t xml:space="preserve">How to read the site, page by page, and what each number does and does not mean.</w:t>
      </w:r>
    </w:p>
    <w:p>
      <w:pPr>
        <w:spacing w:after="120" w:line="276"/>
      </w:pPr>
      <w:r>
        <w:rPr>
          <w:b/>
          <w:bCs/>
        </w:rPr>
        <w:t xml:space="preserve">Live site:</w:t>
      </w:r>
      <w:r>
        <w:t xml:space="preserve"> </w:t>
      </w:r>
      <w:hyperlink w:history="1" r:id="rIdjsreclxsndxuoofech_3g">
        <w:r>
          <w:rPr>
            <w:rStyle w:val="Hyperlink"/>
            <w:color w:val="1D4F91"/>
            <w:u w:val="single"/>
          </w:rPr>
          <w:t xml:space="preserve">nwgsgrid.com</w:t>
        </w:r>
      </w:hyperlink>
      <w:r>
        <w:t xml:space="preserve"> · </w:t>
      </w:r>
      <w:r>
        <w:rPr>
          <w:b/>
          <w:bCs/>
        </w:rPr>
        <w:t xml:space="preserve">Repository:</w:t>
      </w:r>
      <w:r>
        <w:t xml:space="preserve"> </w:t>
      </w:r>
      <w:hyperlink w:history="1" r:id="rId_qst0cixxblas4b0vu_u5">
        <w:r>
          <w:rPr>
            <w:rStyle w:val="Hyperlink"/>
            <w:color w:val="1D4F91"/>
            <w:u w:val="single"/>
          </w:rPr>
          <w:t xml:space="preserve">github.com/victorialovefranklin/nwgs-grid-site</w:t>
        </w:r>
      </w:hyperlink>
    </w:p>
    <w:p>
      <w:pPr>
        <w:spacing w:after="120" w:line="276"/>
      </w:pPr>
      <w:r>
        <w:rPr>
          <w:b/>
          <w:bCs/>
        </w:rPr>
        <w:t xml:space="preserve">Run described:</w:t>
      </w:r>
      <w:r>
        <w:t xml:space="preserve"> </w:t>
      </w:r>
      <w:r>
        <w:rPr>
          <w:rFonts w:ascii="Consolas" w:cs="Consolas" w:eastAsia="Consolas" w:hAnsi="Consolas"/>
          <w:color w:val="6E1F2B"/>
          <w:sz w:val="18"/>
          <w:szCs w:val="18"/>
        </w:rPr>
        <w:t xml:space="preserve">run_20261009T1509Z</w:t>
      </w:r>
      <w:r>
        <w:t xml:space="preserve"> · </w:t>
      </w:r>
      <w:r>
        <w:rPr>
          <w:b/>
          <w:bCs/>
        </w:rPr>
        <w:t xml:space="preserve">Data through:</w:t>
      </w:r>
      <w:r>
        <w:t xml:space="preserve"> 2026-09-05 · </w:t>
      </w:r>
      <w:r>
        <w:rPr>
          <w:b/>
          <w:bCs/>
        </w:rPr>
        <w:t xml:space="preserve">Generated:</w:t>
      </w:r>
      <w:r>
        <w:t xml:space="preserve"> 2026-10-16</w:t>
      </w:r>
    </w:p>
    <w:p>
      <w:pPr>
        <w:pBdr>
          <w:left w:val="single" w:color="C49A4A" w:sz="18" w:space="12"/>
        </w:pBdr>
        <w:shd w:fill="F2F0EB" w:val="clear"/>
        <w:spacing w:after="160" w:before="120" w:line="276"/>
        <w:ind w:left="360"/>
      </w:pPr>
      <w:r>
        <w:t xml:space="preserve">Generated by </w:t>
      </w:r>
      <w:r>
        <w:rPr>
          <w:rFonts w:ascii="Consolas" w:cs="Consolas" w:eastAsia="Consolas" w:hAnsi="Consolas"/>
          <w:color w:val="6E1F2B"/>
          <w:sz w:val="18"/>
          <w:szCs w:val="18"/>
        </w:rPr>
        <w:t xml:space="preserve">scripts/build_docs.py</w:t>
      </w:r>
      <w:r>
        <w:t xml:space="preserve"> from the repository and from the export for the run named above. Counts, column lists, dependency versions and database tables are read from the code and the data rather than written by hand, so this document cannot drift away from what it describes.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Before anything else</w:t>
      </w:r>
    </w:p>
    <w:p>
      <w:pPr>
        <w:spacing w:after="120" w:line="276"/>
      </w:pPr>
      <w:r>
        <w:t xml:space="preserve">Three things decide how everything on this site should be read.</w:t>
      </w:r>
    </w:p>
    <w:p>
      <w:pPr>
        <w:spacing w:after="120" w:line="276"/>
      </w:pPr>
      <w:r>
        <w:rPr>
          <w:b/>
          <w:bCs/>
        </w:rPr>
        <w:t xml:space="preserve">The numbers are relative, not absolute.</w:t>
      </w:r>
      <w:r>
        <w:t xml:space="preserve"> Every monitoring site is compared against its own history, as a z-score. Zero means normal for that site. Above one means high for that site. A county at High is not necessarily worse off than a county at Typical somewhere else; it has moved further from its own normal. Comparing two places on raw concentration would be misleading, because one plant may serve 5,000 people and another 500,000, and laboratories differ.</w:t>
      </w:r>
    </w:p>
    <w:p>
      <w:pPr>
        <w:spacing w:after="120" w:line="276"/>
      </w:pPr>
      <w:r>
        <w:rPr>
          <w:b/>
          <w:bCs/>
        </w:rPr>
        <w:t xml:space="preserve">They are not case counts.</w:t>
      </w:r>
      <w:r>
        <w:t xml:space="preserve"> A z-score of 2.0 does not convert into a number of infected people. Shedding varies enormously between individuals and over the course of an illness.</w:t>
      </w:r>
    </w:p>
    <w:p>
      <w:pPr>
        <w:spacing w:after="120" w:line="276"/>
      </w:pPr>
      <w:r>
        <w:rPr>
          <w:b/>
          <w:bCs/>
        </w:rPr>
        <w:t xml:space="preserve">A county with no data is not a county with no transmission.</w:t>
      </w:r>
      <w:r>
        <w:t xml:space="preserve"> Coverage is partial and uneven. The map marks counties with no monitored site separately from counties that are quiet, and the two mean entirely different things.</w:t>
      </w:r>
    </w:p>
    <w:p>
      <w:pPr>
        <w:spacing w:after="120" w:line="276"/>
      </w:pPr>
      <w:r>
        <w:t xml:space="preserve">As an example, in the run described here SARS-CoV-2 sat at a median site z-score of -0.39 across 1,872 sites in 1,087 counties.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Finding what you need</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Page</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answers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Start here</w:t>
            </w:r>
          </w:p>
        </w:tc>
        <w:tc>
          <w:tcPr>
            <w:tcW w:type="dxa" w:w="6178"/>
            <w:tcMar>
              <w:top w:type="dxa" w:w="60"/>
              <w:left w:type="dxa" w:w="108"/>
              <w:bottom w:type="dxa" w:w="60"/>
              <w:right w:type="dxa" w:w="108"/>
            </w:tcMar>
          </w:tcPr>
          <w:p>
            <w:pPr>
              <w:spacing w:after="0" w:line="240"/>
            </w:pPr>
            <w:r>
              <w:rPr>
                <w:sz w:val="18"/>
                <w:szCs w:val="18"/>
              </w:rPr>
              <w:t xml:space="preserve">What wastewater surveillance is, what it can and cannot tell you, and where to go next.</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Dashboard</w:t>
            </w:r>
          </w:p>
        </w:tc>
        <w:tc>
          <w:tcPr>
            <w:tcW w:type="dxa" w:w="6178"/>
            <w:tcMar>
              <w:top w:type="dxa" w:w="60"/>
              <w:left w:type="dxa" w:w="108"/>
              <w:bottom w:type="dxa" w:w="60"/>
              <w:right w:type="dxa" w:w="108"/>
            </w:tcMar>
          </w:tcPr>
          <w:p>
            <w:pPr>
              <w:spacing w:after="0" w:line="240"/>
            </w:pPr>
            <w:r>
              <w:rPr>
                <w:sz w:val="18"/>
                <w:szCs w:val="18"/>
              </w:rPr>
              <w:t xml:space="preserve">The national picture for this week: each pathogen's level, its direction, and how many counties are high.</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Surveillance map</w:t>
            </w:r>
          </w:p>
        </w:tc>
        <w:tc>
          <w:tcPr>
            <w:tcW w:type="dxa" w:w="6178"/>
            <w:tcMar>
              <w:top w:type="dxa" w:w="60"/>
              <w:left w:type="dxa" w:w="108"/>
              <w:bottom w:type="dxa" w:w="60"/>
              <w:right w:type="dxa" w:w="108"/>
            </w:tcMar>
          </w:tcPr>
          <w:p>
            <w:pPr>
              <w:spacing w:after="0" w:line="240"/>
            </w:pPr>
            <w:r>
              <w:rPr>
                <w:sz w:val="18"/>
                <w:szCs w:val="18"/>
              </w:rPr>
              <w:t xml:space="preserve">A county map you can click, plus spatial clusters and coverage.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Trends &amp; timing</w:t>
            </w:r>
          </w:p>
        </w:tc>
        <w:tc>
          <w:tcPr>
            <w:tcW w:type="dxa" w:w="6178"/>
            <w:tcMar>
              <w:top w:type="dxa" w:w="60"/>
              <w:left w:type="dxa" w:w="108"/>
              <w:bottom w:type="dxa" w:w="60"/>
              <w:right w:type="dxa" w:w="108"/>
            </w:tcMar>
          </w:tcPr>
          <w:p>
            <w:pPr>
              <w:spacing w:after="0" w:line="240"/>
            </w:pPr>
            <w:r>
              <w:rPr>
                <w:sz w:val="18"/>
                <w:szCs w:val="18"/>
              </w:rPr>
              <w:t xml:space="preserve">Long-run trends, seasonal peaks, and how wastewater lines up with clinical data.</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Lead time</w:t>
            </w:r>
          </w:p>
        </w:tc>
        <w:tc>
          <w:tcPr>
            <w:tcW w:type="dxa" w:w="6178"/>
            <w:tcMar>
              <w:top w:type="dxa" w:w="60"/>
              <w:left w:type="dxa" w:w="108"/>
              <w:bottom w:type="dxa" w:w="60"/>
              <w:right w:type="dxa" w:w="108"/>
            </w:tcMar>
          </w:tcPr>
          <w:p>
            <w:pPr>
              <w:spacing w:after="0" w:line="240"/>
            </w:pPr>
            <w:r>
              <w:rPr>
                <w:sz w:val="18"/>
                <w:szCs w:val="18"/>
              </w:rPr>
              <w:t xml:space="preserve">Whether the signal arrives early enough to act on, split into biology and reporting delay.</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Predictive models</w:t>
            </w:r>
          </w:p>
        </w:tc>
        <w:tc>
          <w:tcPr>
            <w:tcW w:type="dxa" w:w="6178"/>
            <w:tcMar>
              <w:top w:type="dxa" w:w="60"/>
              <w:left w:type="dxa" w:w="108"/>
              <w:bottom w:type="dxa" w:w="60"/>
              <w:right w:type="dxa" w:w="108"/>
            </w:tcMar>
          </w:tcPr>
          <w:p>
            <w:pPr>
              <w:spacing w:after="0" w:line="240"/>
            </w:pPr>
            <w:r>
              <w:rPr>
                <w:sz w:val="18"/>
                <w:szCs w:val="18"/>
              </w:rPr>
              <w:t xml:space="preserve">How well models trained on earlier weeks did on weeks they had never seen.</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Where monitoring happens</w:t>
            </w:r>
          </w:p>
        </w:tc>
        <w:tc>
          <w:tcPr>
            <w:tcW w:type="dxa" w:w="6178"/>
            <w:tcMar>
              <w:top w:type="dxa" w:w="60"/>
              <w:left w:type="dxa" w:w="108"/>
              <w:bottom w:type="dxa" w:w="60"/>
              <w:right w:type="dxa" w:w="108"/>
            </w:tcMar>
          </w:tcPr>
          <w:p>
            <w:pPr>
              <w:spacing w:after="0" w:line="240"/>
            </w:pPr>
            <w:r>
              <w:rPr>
                <w:sz w:val="18"/>
                <w:szCs w:val="18"/>
              </w:rPr>
              <w:t xml:space="preserve">Look up any county: whether wastewater here is being tested, how many residents are on sewers, and which of those two explains the answer.</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Coverage &amp; equity</w:t>
            </w:r>
          </w:p>
        </w:tc>
        <w:tc>
          <w:tcPr>
            <w:tcW w:type="dxa" w:w="6178"/>
            <w:tcMar>
              <w:top w:type="dxa" w:w="60"/>
              <w:left w:type="dxa" w:w="108"/>
              <w:bottom w:type="dxa" w:w="60"/>
              <w:right w:type="dxa" w:w="108"/>
            </w:tcMar>
          </w:tcPr>
          <w:p>
            <w:pPr>
              <w:spacing w:after="0" w:line="240"/>
            </w:pPr>
            <w:r>
              <w:rPr>
                <w:sz w:val="18"/>
                <w:szCs w:val="18"/>
              </w:rPr>
              <w:t xml:space="preserve">Who the system reaches and who it misses.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Global coverage</w:t>
            </w:r>
          </w:p>
        </w:tc>
        <w:tc>
          <w:tcPr>
            <w:tcW w:type="dxa" w:w="6178"/>
            <w:tcMar>
              <w:top w:type="dxa" w:w="60"/>
              <w:left w:type="dxa" w:w="108"/>
              <w:bottom w:type="dxa" w:w="60"/>
              <w:right w:type="dxa" w:w="108"/>
            </w:tcMar>
          </w:tcPr>
          <w:p>
            <w:pPr>
              <w:spacing w:after="0" w:line="240"/>
            </w:pPr>
            <w:r>
              <w:rPr>
                <w:sz w:val="18"/>
                <w:szCs w:val="18"/>
              </w:rPr>
              <w:t xml:space="preserve">How much of each country's population this method could ever observe.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Tennessee</w:t>
            </w:r>
          </w:p>
        </w:tc>
        <w:tc>
          <w:tcPr>
            <w:tcW w:type="dxa" w:w="6178"/>
            <w:tcMar>
              <w:top w:type="dxa" w:w="60"/>
              <w:left w:type="dxa" w:w="108"/>
              <w:bottom w:type="dxa" w:w="60"/>
              <w:right w:type="dxa" w:w="108"/>
            </w:tcMar>
          </w:tcPr>
          <w:p>
            <w:pPr>
              <w:spacing w:after="0" w:line="240"/>
            </w:pPr>
            <w:r>
              <w:rPr>
                <w:sz w:val="18"/>
                <w:szCs w:val="18"/>
              </w:rPr>
              <w:t xml:space="preserve">A worked state-level example.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Genomics &amp; AMR</w:t>
            </w:r>
          </w:p>
        </w:tc>
        <w:tc>
          <w:tcPr>
            <w:tcW w:type="dxa" w:w="6178"/>
            <w:tcMar>
              <w:top w:type="dxa" w:w="60"/>
              <w:left w:type="dxa" w:w="108"/>
              <w:bottom w:type="dxa" w:w="60"/>
              <w:right w:type="dxa" w:w="108"/>
            </w:tcMar>
          </w:tcPr>
          <w:p>
            <w:pPr>
              <w:spacing w:after="0" w:line="240"/>
            </w:pPr>
            <w:r>
              <w:rPr>
                <w:sz w:val="18"/>
                <w:szCs w:val="18"/>
              </w:rPr>
              <w:t xml:space="preserve">Resistance-gene detections and public genome records.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Protein structures</w:t>
            </w:r>
          </w:p>
        </w:tc>
        <w:tc>
          <w:tcPr>
            <w:tcW w:type="dxa" w:w="6178"/>
            <w:tcMar>
              <w:top w:type="dxa" w:w="60"/>
              <w:left w:type="dxa" w:w="108"/>
              <w:bottom w:type="dxa" w:w="60"/>
              <w:right w:type="dxa" w:w="108"/>
            </w:tcMar>
          </w:tcPr>
          <w:p>
            <w:pPr>
              <w:spacing w:after="0" w:line="240"/>
            </w:pPr>
            <w:r>
              <w:rPr>
                <w:sz w:val="18"/>
                <w:szCs w:val="18"/>
              </w:rPr>
              <w:t xml:space="preserve">Reference structures with cited functional annotations.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Alerts</w:t>
            </w:r>
          </w:p>
        </w:tc>
        <w:tc>
          <w:tcPr>
            <w:tcW w:type="dxa" w:w="6178"/>
            <w:tcMar>
              <w:top w:type="dxa" w:w="60"/>
              <w:left w:type="dxa" w:w="108"/>
              <w:bottom w:type="dxa" w:w="60"/>
              <w:right w:type="dxa" w:w="108"/>
            </w:tcMar>
          </w:tcPr>
          <w:p>
            <w:pPr>
              <w:spacing w:after="0" w:line="240"/>
            </w:pPr>
            <w:r>
              <w:rPr>
                <w:sz w:val="18"/>
                <w:szCs w:val="18"/>
              </w:rPr>
              <w:t xml:space="preserve">Every state with counties above the high threshold.</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My alerts</w:t>
            </w:r>
          </w:p>
        </w:tc>
        <w:tc>
          <w:tcPr>
            <w:tcW w:type="dxa" w:w="6178"/>
            <w:tcMar>
              <w:top w:type="dxa" w:w="60"/>
              <w:left w:type="dxa" w:w="108"/>
              <w:bottom w:type="dxa" w:w="60"/>
              <w:right w:type="dxa" w:w="108"/>
            </w:tcMar>
          </w:tcPr>
          <w:p>
            <w:pPr>
              <w:spacing w:after="0" w:line="240"/>
            </w:pPr>
            <w:r>
              <w:rPr>
                <w:sz w:val="18"/>
                <w:szCs w:val="18"/>
              </w:rPr>
              <w:t xml:space="preserve">Save a pathogen, a state and a level, and get an email when a run matches.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Audit log</w:t>
            </w:r>
          </w:p>
        </w:tc>
        <w:tc>
          <w:tcPr>
            <w:tcW w:type="dxa" w:w="6178"/>
            <w:tcMar>
              <w:top w:type="dxa" w:w="60"/>
              <w:left w:type="dxa" w:w="108"/>
              <w:bottom w:type="dxa" w:w="60"/>
              <w:right w:type="dxa" w:w="108"/>
            </w:tcMar>
          </w:tcPr>
          <w:p>
            <w:pPr>
              <w:spacing w:after="0" w:line="240"/>
            </w:pPr>
            <w:r>
              <w:rPr>
                <w:sz w:val="18"/>
                <w:szCs w:val="18"/>
              </w:rPr>
              <w:t xml:space="preserve">Every automated check from this run, and whether each source loaded.</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Methods &amp; sources</w:t>
            </w:r>
          </w:p>
        </w:tc>
        <w:tc>
          <w:tcPr>
            <w:tcW w:type="dxa" w:w="6178"/>
            <w:tcMar>
              <w:top w:type="dxa" w:w="60"/>
              <w:left w:type="dxa" w:w="108"/>
              <w:bottom w:type="dxa" w:w="60"/>
              <w:right w:type="dxa" w:w="108"/>
            </w:tcMar>
          </w:tcPr>
          <w:p>
            <w:pPr>
              <w:spacing w:after="0" w:line="240"/>
            </w:pPr>
            <w:r>
              <w:rPr>
                <w:sz w:val="18"/>
                <w:szCs w:val="18"/>
              </w:rPr>
              <w:t xml:space="preserve">How the numbers were produced, with the full dataset and reference list.</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Glossary</w:t>
            </w:r>
          </w:p>
        </w:tc>
        <w:tc>
          <w:tcPr>
            <w:tcW w:type="dxa" w:w="6178"/>
            <w:tcMar>
              <w:top w:type="dxa" w:w="60"/>
              <w:left w:type="dxa" w:w="108"/>
              <w:bottom w:type="dxa" w:w="60"/>
              <w:right w:type="dxa" w:w="108"/>
            </w:tcMar>
          </w:tcPr>
          <w:p>
            <w:pPr>
              <w:spacing w:after="0" w:line="240"/>
            </w:pPr>
            <w:r>
              <w:rPr>
                <w:sz w:val="18"/>
                <w:szCs w:val="18"/>
              </w:rPr>
              <w:t xml:space="preserve">Plain-language definitions of every term used.</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About the developer</w:t>
            </w:r>
          </w:p>
        </w:tc>
        <w:tc>
          <w:tcPr>
            <w:tcW w:type="dxa" w:w="6178"/>
            <w:tcMar>
              <w:top w:type="dxa" w:w="60"/>
              <w:left w:type="dxa" w:w="108"/>
              <w:bottom w:type="dxa" w:w="60"/>
              <w:right w:type="dxa" w:w="108"/>
            </w:tcMar>
          </w:tcPr>
          <w:p>
            <w:pPr>
              <w:spacing w:after="0" w:line="240"/>
            </w:pPr>
            <w:r>
              <w:rPr>
                <w:sz w:val="18"/>
                <w:szCs w:val="18"/>
              </w:rPr>
              <w:t xml:space="preserve">Authorship, citation and licensing.</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Reading an activity level</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Level</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Median site z-score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Plain reading</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Very Low</w:t>
            </w:r>
          </w:p>
        </w:tc>
        <w:tc>
          <w:tcPr>
            <w:tcW w:type="dxa" w:w="3089"/>
            <w:tcMar>
              <w:top w:type="dxa" w:w="60"/>
              <w:left w:type="dxa" w:w="108"/>
              <w:bottom w:type="dxa" w:w="60"/>
              <w:right w:type="dxa" w:w="108"/>
            </w:tcMar>
          </w:tcPr>
          <w:p>
            <w:pPr>
              <w:spacing w:after="0" w:line="240"/>
            </w:pPr>
            <w:r>
              <w:rPr>
                <w:sz w:val="18"/>
                <w:szCs w:val="18"/>
              </w:rPr>
              <w:t xml:space="preserve">z at or below -1</w:t>
            </w:r>
          </w:p>
        </w:tc>
        <w:tc>
          <w:tcPr>
            <w:tcW w:type="dxa" w:w="3089"/>
            <w:tcMar>
              <w:top w:type="dxa" w:w="60"/>
              <w:left w:type="dxa" w:w="108"/>
              <w:bottom w:type="dxa" w:w="60"/>
              <w:right w:type="dxa" w:w="108"/>
            </w:tcMar>
          </w:tcPr>
          <w:p>
            <w:pPr>
              <w:spacing w:after="0" w:line="240"/>
            </w:pPr>
            <w:r>
              <w:rPr>
                <w:sz w:val="18"/>
                <w:szCs w:val="18"/>
              </w:rPr>
              <w:t xml:space="preserve">Well below normal for this place.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Low</w:t>
            </w:r>
          </w:p>
        </w:tc>
        <w:tc>
          <w:tcPr>
            <w:tcW w:type="dxa" w:w="3089"/>
            <w:tcMar>
              <w:top w:type="dxa" w:w="60"/>
              <w:left w:type="dxa" w:w="108"/>
              <w:bottom w:type="dxa" w:w="60"/>
              <w:right w:type="dxa" w:w="108"/>
            </w:tcMar>
          </w:tcPr>
          <w:p>
            <w:pPr>
              <w:spacing w:after="0" w:line="240"/>
            </w:pPr>
            <w:r>
              <w:rPr>
                <w:sz w:val="18"/>
                <w:szCs w:val="18"/>
              </w:rPr>
              <w:t xml:space="preserve">-1 to -0.25</w:t>
            </w:r>
          </w:p>
        </w:tc>
        <w:tc>
          <w:tcPr>
            <w:tcW w:type="dxa" w:w="3089"/>
            <w:tcMar>
              <w:top w:type="dxa" w:w="60"/>
              <w:left w:type="dxa" w:w="108"/>
              <w:bottom w:type="dxa" w:w="60"/>
              <w:right w:type="dxa" w:w="108"/>
            </w:tcMar>
          </w:tcPr>
          <w:p>
            <w:pPr>
              <w:spacing w:after="0" w:line="240"/>
            </w:pPr>
            <w:r>
              <w:rPr>
                <w:sz w:val="18"/>
                <w:szCs w:val="18"/>
              </w:rPr>
              <w:t xml:space="preserve">Below its usual range.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Typical</w:t>
            </w:r>
          </w:p>
        </w:tc>
        <w:tc>
          <w:tcPr>
            <w:tcW w:type="dxa" w:w="3089"/>
            <w:tcMar>
              <w:top w:type="dxa" w:w="60"/>
              <w:left w:type="dxa" w:w="108"/>
              <w:bottom w:type="dxa" w:w="60"/>
              <w:right w:type="dxa" w:w="108"/>
            </w:tcMar>
          </w:tcPr>
          <w:p>
            <w:pPr>
              <w:spacing w:after="0" w:line="240"/>
            </w:pPr>
            <w:r>
              <w:rPr>
                <w:sz w:val="18"/>
                <w:szCs w:val="18"/>
              </w:rPr>
              <w:t xml:space="preserve">-0.25 to 0.25</w:t>
            </w:r>
          </w:p>
        </w:tc>
        <w:tc>
          <w:tcPr>
            <w:tcW w:type="dxa" w:w="3089"/>
            <w:tcMar>
              <w:top w:type="dxa" w:w="60"/>
              <w:left w:type="dxa" w:w="108"/>
              <w:bottom w:type="dxa" w:w="60"/>
              <w:right w:type="dxa" w:w="108"/>
            </w:tcMar>
          </w:tcPr>
          <w:p>
            <w:pPr>
              <w:spacing w:after="0" w:line="240"/>
            </w:pPr>
            <w:r>
              <w:rPr>
                <w:sz w:val="18"/>
                <w:szCs w:val="18"/>
              </w:rPr>
              <w:t xml:space="preserve">About normal for this place.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Elevated</w:t>
            </w:r>
          </w:p>
        </w:tc>
        <w:tc>
          <w:tcPr>
            <w:tcW w:type="dxa" w:w="3089"/>
            <w:tcMar>
              <w:top w:type="dxa" w:w="60"/>
              <w:left w:type="dxa" w:w="108"/>
              <w:bottom w:type="dxa" w:w="60"/>
              <w:right w:type="dxa" w:w="108"/>
            </w:tcMar>
          </w:tcPr>
          <w:p>
            <w:pPr>
              <w:spacing w:after="0" w:line="240"/>
            </w:pPr>
            <w:r>
              <w:rPr>
                <w:sz w:val="18"/>
                <w:szCs w:val="18"/>
              </w:rPr>
              <w:t xml:space="preserve">0.25 to 1</w:t>
            </w:r>
          </w:p>
        </w:tc>
        <w:tc>
          <w:tcPr>
            <w:tcW w:type="dxa" w:w="3089"/>
            <w:tcMar>
              <w:top w:type="dxa" w:w="60"/>
              <w:left w:type="dxa" w:w="108"/>
              <w:bottom w:type="dxa" w:w="60"/>
              <w:right w:type="dxa" w:w="108"/>
            </w:tcMar>
          </w:tcPr>
          <w:p>
            <w:pPr>
              <w:spacing w:after="0" w:line="240"/>
            </w:pPr>
            <w:r>
              <w:rPr>
                <w:sz w:val="18"/>
                <w:szCs w:val="18"/>
              </w:rPr>
              <w:t xml:space="preserve">Above its usual range.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High</w:t>
            </w:r>
          </w:p>
        </w:tc>
        <w:tc>
          <w:tcPr>
            <w:tcW w:type="dxa" w:w="3089"/>
            <w:tcMar>
              <w:top w:type="dxa" w:w="60"/>
              <w:left w:type="dxa" w:w="108"/>
              <w:bottom w:type="dxa" w:w="60"/>
              <w:right w:type="dxa" w:w="108"/>
            </w:tcMar>
          </w:tcPr>
          <w:p>
            <w:pPr>
              <w:spacing w:after="0" w:line="240"/>
            </w:pPr>
            <w:r>
              <w:rPr>
                <w:sz w:val="18"/>
                <w:szCs w:val="18"/>
              </w:rPr>
              <w:t xml:space="preserve">above 1</w:t>
            </w:r>
          </w:p>
        </w:tc>
        <w:tc>
          <w:tcPr>
            <w:tcW w:type="dxa" w:w="3089"/>
            <w:tcMar>
              <w:top w:type="dxa" w:w="60"/>
              <w:left w:type="dxa" w:w="108"/>
              <w:bottom w:type="dxa" w:w="60"/>
              <w:right w:type="dxa" w:w="108"/>
            </w:tcMar>
          </w:tcPr>
          <w:p>
            <w:pPr>
              <w:spacing w:after="0" w:line="240"/>
            </w:pPr>
            <w:r>
              <w:rPr>
                <w:sz w:val="18"/>
                <w:szCs w:val="18"/>
              </w:rPr>
              <w:t xml:space="preserve">Well above normal for this place.</w:t>
            </w:r>
          </w:p>
        </w:tc>
      </w:tr>
    </w:tbl>
    <w:p>
      <w:pPr>
        <w:spacing w:after="160"/>
      </w:pPr>
    </w:p>
    <w:p>
      <w:pPr>
        <w:spacing w:after="120" w:line="276"/>
      </w:pPr>
      <w:r>
        <w:t xml:space="preserve">The level shown for a county is the median across its reporting sites. The national level is the median across all reporting sites.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4. Setting up an email alert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Open </w:t>
            </w:r>
            <w:r>
              <w:rPr>
                <w:b/>
                <w:bCs/>
              </w:rPr>
              <w:t xml:space="preserve">My alerts</w:t>
            </w:r>
            <w:r>
              <w:t xml:space="preserve"> and enter your email address. You will be sent a sign-in link; there is no password to choose or remember.</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Choose a pathogen, a state and the level you care about.</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Save the rule. Each weekly run is matched against your saved rules, and you are emailed when one matches.</w:t>
            </w:r>
          </w:p>
        </w:tc>
      </w:tr>
    </w:tbl>
    <w:p>
      <w:pPr>
        <w:spacing w:after="120" w:line="276"/>
      </w:pPr>
      <w:r>
        <w:t xml:space="preserve">A rule is yours alone. Row-level security in the database restricts every saved rule to the account that created it.</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5. Questions people ask</w:t>
      </w:r>
    </w:p>
    <w:p>
      <w:pPr>
        <w:spacing w:after="120" w:line="276"/>
      </w:pPr>
      <w:r>
        <w:rPr>
          <w:b/>
          <w:bCs/>
        </w:rPr>
        <w:t xml:space="preserve">Why is the date at the top not today?</w:t>
      </w:r>
      <w:r>
        <w:t xml:space="preserve"> It is the latest </w:t>
      </w:r>
      <w:r>
        <w:rPr>
          <w:i/>
          <w:iCs/>
        </w:rPr>
        <w:t xml:space="preserve">sample</w:t>
      </w:r>
      <w:r>
        <w:t xml:space="preserve"> date, not today's date. Samples take days to reach a laboratory, be tested, and be published. The header also shows when CDC last refreshed the data.</w:t>
      </w:r>
    </w:p>
    <w:p>
      <w:pPr>
        <w:spacing w:after="120" w:line="276"/>
      </w:pPr>
      <w:r>
        <w:rPr>
          <w:b/>
          <w:bCs/>
        </w:rPr>
        <w:t xml:space="preserve">Why did a number change since last week?</w:t>
      </w:r>
      <w:r>
        <w:t xml:space="preserve"> CDC revises its datasets continuously. Every page is built from one frozen weekly snapshot, and each snapshot is archived. If you cite a figure, cite the run identifier and the data-through date shown in the header, so the exact numbers can be recovered later.</w:t>
      </w:r>
    </w:p>
    <w:p>
      <w:pPr>
        <w:spacing w:after="120" w:line="276"/>
      </w:pPr>
      <w:r>
        <w:rPr>
          <w:b/>
          <w:bCs/>
        </w:rPr>
        <w:t xml:space="preserve">What does an empty panel mean?</w:t>
      </w:r>
      <w:r>
        <w:t xml:space="preserve"> That a source did not load, not that the measurement came back empty. Empty panels say which source failed and why, and the Audit log records the outcome of every source for the run.</w:t>
      </w:r>
    </w:p>
    <w:p>
      <w:pPr>
        <w:spacing w:after="120" w:line="276"/>
      </w:pPr>
      <w:r>
        <w:rPr>
          <w:b/>
          <w:bCs/>
        </w:rPr>
        <w:t xml:space="preserve">Does wastewater give early warning?</w:t>
      </w:r>
      <w:r>
        <w:t xml:space="preserve"> Sometimes, and less than is usually claimed. The Lead time page splits warning time into the part that is biology and the part that is reporting delay. A lead of two weeks is worth nothing if publication also takes two weeks.</w:t>
      </w:r>
    </w:p>
    <w:p>
      <w:pPr>
        <w:spacing w:after="120" w:line="276"/>
      </w:pPr>
      <w:r>
        <w:rPr>
          <w:b/>
          <w:bCs/>
        </w:rPr>
        <w:t xml:space="preserve">Can any of this identify me?</w:t>
      </w:r>
      <w:r>
        <w:t xml:space="preserve"> No. Everything here comes from CDC's published, aggregated data at treatment-plant and county level. No sample is tied to a person, a household or an address, and no sub-building sampling is used or reported.</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6. Citing the site</w:t>
      </w:r>
    </w:p>
    <w:p>
      <w:pPr>
        <w:spacing w:after="120" w:line="276"/>
      </w:pPr>
      <w:r>
        <w:t xml:space="preserve">Cite the release for the run, not the live page, because the live page moves every week. Each run is archived as a permanent release containing its tables, figures and export. The About page carries the full citation format, and the run identifier in the header tells you which release to cite.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User Guide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sreclxsndxuoofech_3g" Type="http://schemas.openxmlformats.org/officeDocument/2006/relationships/hyperlink" Target="https://nwgsgrid.com/" TargetMode="External"/><Relationship Id="rId_qst0cixxblas4b0vu_u5" Type="http://schemas.openxmlformats.org/officeDocument/2006/relationships/hyperlink" Target="https://github.com/victorialovefranklin/nwgs-grid-si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User Guide</dc:title>
  <dc:creator>Victoria Love Franklin</dc:creator>
  <dc:description>NWGS Grid - User Guide. Generated from the repository and from a weekly run's export.</dc:description>
  <cp:lastModifiedBy>Victoria Love Franklin</cp:lastModifiedBy>
  <cp:revision>1</cp:revision>
  <dcterms:created xsi:type="dcterms:W3CDTF">2026-10-16T15:47:26.262Z</dcterms:created>
  <dcterms:modified xsi:type="dcterms:W3CDTF">2026-10-16T15:47:26.263Z</dcterms:modified>
</cp:coreProperties>
</file>

<file path=docProps/custom.xml><?xml version="1.0" encoding="utf-8"?>
<Properties xmlns="http://schemas.openxmlformats.org/officeDocument/2006/custom-properties" xmlns:vt="http://schemas.openxmlformats.org/officeDocument/2006/docPropsVTypes"/>
</file>