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Front End Reference</w:t>
      </w:r>
    </w:p>
    <w:p>
      <w:pPr>
        <w:spacing w:after="120" w:line="276"/>
      </w:pPr>
      <w:r>
        <w:t xml:space="preserve">How the published page is built, how it gets its data, and how to change it safely.</w:t>
      </w:r>
    </w:p>
    <w:p>
      <w:pPr>
        <w:spacing w:after="120" w:line="276"/>
      </w:pPr>
      <w:r>
        <w:rPr>
          <w:b/>
          <w:bCs/>
        </w:rPr>
        <w:t xml:space="preserve">Run described:</w:t>
      </w:r>
      <w:r>
        <w:t xml:space="preserve"> </w:t>
      </w:r>
      <w:r>
        <w:rPr>
          <w:rFonts w:ascii="Consolas" w:cs="Consolas" w:eastAsia="Consolas" w:hAnsi="Consolas"/>
          <w:color w:val="6E1F2B"/>
          <w:sz w:val="18"/>
          <w:szCs w:val="18"/>
        </w:rPr>
        <w:t xml:space="preserve">run_20261009T1509Z</w:t>
      </w:r>
      <w:r>
        <w:t xml:space="preserve"> · </w:t>
      </w:r>
      <w:r>
        <w:rPr>
          <w:b/>
          <w:bCs/>
        </w:rPr>
        <w:t xml:space="preserve">Data through:</w:t>
      </w:r>
      <w:r>
        <w:t xml:space="preserve"> 2026-10-10 · </w:t>
      </w:r>
      <w:r>
        <w:rPr>
          <w:b/>
          <w:bCs/>
        </w:rPr>
        <w:t xml:space="preserve">Generated:</w:t>
      </w:r>
      <w:r>
        <w:t xml:space="preserve"> 2026-10-14</w:t>
      </w:r>
    </w:p>
    <w:p>
      <w:pPr>
        <w:pBdr>
          <w:left w:val="single" w:color="C49A4A" w:sz="18" w:space="12"/>
        </w:pBdr>
        <w:shd w:fill="F2F0EB" w:val="clear"/>
        <w:spacing w:after="160" w:before="120" w:line="276"/>
        <w:ind w:left="360"/>
      </w:pPr>
      <w:r>
        <w:t xml:space="preserve">Generated by </w:t>
      </w:r>
      <w:r>
        <w:rPr>
          <w:rFonts w:ascii="Consolas" w:cs="Consolas" w:eastAsia="Consolas" w:hAnsi="Consolas"/>
          <w:color w:val="6E1F2B"/>
          <w:sz w:val="18"/>
          <w:szCs w:val="18"/>
        </w:rPr>
        <w:t xml:space="preserve">scripts/build_docs.py</w:t>
      </w:r>
      <w:r>
        <w:t xml:space="preserve"> from the repository and from the export for the run named above. Counts, column lists, dependency versions and database tables are read from the code and the data rather than written by hand, so this document cannot drift away from what it describes.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Shape of the thing</w:t>
      </w:r>
    </w:p>
    <w:p>
      <w:pPr>
        <w:spacing w:after="120" w:line="276"/>
      </w:pPr>
      <w:r>
        <w:t xml:space="preserve">The site is </w:t>
      </w:r>
      <w:r>
        <w:rPr>
          <w:b/>
          <w:bCs/>
        </w:rPr>
        <w:t xml:space="preserve">one static HTML file</w:t>
      </w:r>
      <w:r>
        <w:t xml:space="preserve">. There is no framework, no bundler, no build step for the browser and no transpilation. </w:t>
      </w:r>
      <w:r>
        <w:rPr>
          <w:rFonts w:ascii="Consolas" w:cs="Consolas" w:eastAsia="Consolas" w:hAnsi="Consolas"/>
          <w:color w:val="6E1F2B"/>
          <w:sz w:val="18"/>
          <w:szCs w:val="18"/>
        </w:rPr>
        <w:t xml:space="preserve">scripts/build_site.py</w:t>
      </w:r>
      <w:r>
        <w:t xml:space="preserve"> substitutes one JSON payload into one template and writes the result.</w:t>
      </w:r>
    </w:p>
    <w:p>
      <w:pPr>
        <w:spacing w:after="120" w:line="276"/>
      </w:pPr>
      <w:r>
        <w:t xml:space="preserve">That is a deliberate constraint, not a limitation someone failed to remove. A page with no build system can be opened, read and audited by anyone, and it will still render in ten years. It also means every figure on the page is precomputed: nothing is queried at page load, so any page can be reproduced exactly from the archived release for its run.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File</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Role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site_src/template.html</w:t>
            </w:r>
          </w:p>
        </w:tc>
        <w:tc>
          <w:tcPr>
            <w:tcW w:type="dxa" w:w="6178"/>
            <w:tcMar>
              <w:top w:type="dxa" w:w="60"/>
              <w:left w:type="dxa" w:w="108"/>
              <w:bottom w:type="dxa" w:w="60"/>
              <w:right w:type="dxa" w:w="108"/>
            </w:tcMar>
          </w:tcPr>
          <w:p>
            <w:pPr>
              <w:spacing w:after="0" w:line="240"/>
            </w:pPr>
            <w:r>
              <w:rPr>
                <w:sz w:val="18"/>
                <w:szCs w:val="18"/>
              </w:rPr>
              <w:t xml:space="preserve">The entire front end: markup, styles and script in one file.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site_src/counties-albers-10m.json</w:t>
            </w:r>
          </w:p>
        </w:tc>
        <w:tc>
          <w:tcPr>
            <w:tcW w:type="dxa" w:w="6178"/>
            <w:tcMar>
              <w:top w:type="dxa" w:w="60"/>
              <w:left w:type="dxa" w:w="108"/>
              <w:bottom w:type="dxa" w:w="60"/>
              <w:right w:type="dxa" w:w="108"/>
            </w:tcMar>
          </w:tcPr>
          <w:p>
            <w:pPr>
              <w:spacing w:after="0" w:line="240"/>
            </w:pPr>
            <w:r>
              <w:rPr>
                <w:sz w:val="18"/>
                <w:szCs w:val="18"/>
              </w:rPr>
              <w:t xml:space="preserve">County and state geometry (us-atlas, ISC licence).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site_src/supabase.json</w:t>
            </w:r>
          </w:p>
        </w:tc>
        <w:tc>
          <w:tcPr>
            <w:tcW w:type="dxa" w:w="6178"/>
            <w:tcMar>
              <w:top w:type="dxa" w:w="60"/>
              <w:left w:type="dxa" w:w="108"/>
              <w:bottom w:type="dxa" w:w="60"/>
              <w:right w:type="dxa" w:w="108"/>
            </w:tcMar>
          </w:tcPr>
          <w:p>
            <w:pPr>
              <w:spacing w:after="0" w:line="240"/>
            </w:pPr>
            <w:r>
              <w:rPr>
                <w:sz w:val="18"/>
                <w:szCs w:val="18"/>
              </w:rPr>
              <w:t xml:space="preserve">Public project URL and publishable key for sign-in.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site_src/img/</w:t>
            </w:r>
          </w:p>
        </w:tc>
        <w:tc>
          <w:tcPr>
            <w:tcW w:type="dxa" w:w="6178"/>
            <w:tcMar>
              <w:top w:type="dxa" w:w="60"/>
              <w:left w:type="dxa" w:w="108"/>
              <w:bottom w:type="dxa" w:w="60"/>
              <w:right w:type="dxa" w:w="108"/>
            </w:tcMar>
          </w:tcPr>
          <w:p>
            <w:pPr>
              <w:spacing w:after="0" w:line="240"/>
            </w:pPr>
            <w:r>
              <w:rPr>
                <w:sz w:val="18"/>
                <w:szCs w:val="18"/>
              </w:rPr>
              <w:t xml:space="preserve">Logo, favicon, portrait and poster images.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scripts/build_site.py</w:t>
            </w:r>
          </w:p>
        </w:tc>
        <w:tc>
          <w:tcPr>
            <w:tcW w:type="dxa" w:w="6178"/>
            <w:tcMar>
              <w:top w:type="dxa" w:w="60"/>
              <w:left w:type="dxa" w:w="108"/>
              <w:bottom w:type="dxa" w:w="60"/>
              <w:right w:type="dxa" w:w="108"/>
            </w:tcMar>
          </w:tcPr>
          <w:p>
            <w:pPr>
              <w:spacing w:after="0" w:line="240"/>
            </w:pPr>
            <w:r>
              <w:rPr>
                <w:sz w:val="18"/>
                <w:szCs w:val="18"/>
              </w:rPr>
              <w:t xml:space="preserve">Reads an export, builds the payload, writes the page.</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The data object</w:t>
      </w:r>
    </w:p>
    <w:p>
      <w:pPr>
        <w:spacing w:after="120" w:line="276"/>
      </w:pPr>
      <w:r>
        <w:rPr>
          <w:rFonts w:ascii="Consolas" w:cs="Consolas" w:eastAsia="Consolas" w:hAnsi="Consolas"/>
          <w:color w:val="6E1F2B"/>
          <w:sz w:val="18"/>
          <w:szCs w:val="18"/>
        </w:rPr>
        <w:t xml:space="preserve">build_site.py</w:t>
      </w:r>
      <w:r>
        <w:t xml:space="preserve"> turns the export's CSV files into a single JSON object that the page reads as </w:t>
      </w:r>
      <w:r>
        <w:rPr>
          <w:rFonts w:ascii="Consolas" w:cs="Consolas" w:eastAsia="Consolas" w:hAnsi="Consolas"/>
          <w:color w:val="6E1F2B"/>
          <w:sz w:val="18"/>
          <w:szCs w:val="18"/>
        </w:rPr>
        <w:t xml:space="preserve">D</w:t>
      </w:r>
      <w:r>
        <w:t xml:space="preserve">. Each key is one view's worth of data, already shaped for display, so the browser does no joining or aggregation.</w:t>
      </w:r>
    </w:p>
    <w:p>
      <w:pPr>
        <w:spacing w:after="120" w:line="276"/>
      </w:pPr>
      <w:r>
        <w:t xml:space="preserve">Entities in the run described here: 40.</w:t>
      </w:r>
    </w:p>
    <w:p>
      <w:pPr>
        <w:spacing w:after="120" w:line="276"/>
      </w:pPr>
      <w:r>
        <w:t xml:space="preserve">A new field therefore has to be added in two places: exported by </w:t>
      </w:r>
      <w:r>
        <w:rPr>
          <w:rFonts w:ascii="Consolas" w:cs="Consolas" w:eastAsia="Consolas" w:hAnsi="Consolas"/>
          <w:color w:val="6E1F2B"/>
          <w:sz w:val="18"/>
          <w:szCs w:val="18"/>
        </w:rPr>
        <w:t xml:space="preserve">scripts/nwgs_app_export.py</w:t>
      </w:r>
      <w:r>
        <w:t xml:space="preserve">, then mapped into </w:t>
      </w:r>
      <w:r>
        <w:rPr>
          <w:rFonts w:ascii="Consolas" w:cs="Consolas" w:eastAsia="Consolas" w:hAnsi="Consolas"/>
          <w:color w:val="6E1F2B"/>
          <w:sz w:val="18"/>
          <w:szCs w:val="18"/>
        </w:rPr>
        <w:t xml:space="preserve">D</w:t>
      </w:r>
      <w:r>
        <w:t xml:space="preserve"> by </w:t>
      </w:r>
      <w:r>
        <w:rPr>
          <w:rFonts w:ascii="Consolas" w:cs="Consolas" w:eastAsia="Consolas" w:hAnsi="Consolas"/>
          <w:color w:val="6E1F2B"/>
          <w:sz w:val="18"/>
          <w:szCs w:val="18"/>
        </w:rPr>
        <w:t xml:space="preserve">build_site.py</w:t>
      </w:r>
      <w:r>
        <w:t xml:space="preserve">. The data reference lists every entity and column.</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Views</w:t>
      </w:r>
    </w:p>
    <w:p>
      <w:pPr>
        <w:spacing w:after="120" w:line="276"/>
      </w:pPr>
      <w:r>
        <w:t xml:space="preserve">Each view is a function on the </w:t>
      </w:r>
      <w:r>
        <w:rPr>
          <w:rFonts w:ascii="Consolas" w:cs="Consolas" w:eastAsia="Consolas" w:hAnsi="Consolas"/>
          <w:color w:val="6E1F2B"/>
          <w:sz w:val="18"/>
          <w:szCs w:val="18"/>
        </w:rPr>
        <w:t xml:space="preserve">RENDER</w:t>
      </w:r>
      <w:r>
        <w:t xml:space="preserve"> object that writes into its own </w:t>
      </w:r>
      <w:r>
        <w:rPr>
          <w:rFonts w:ascii="Consolas" w:cs="Consolas" w:eastAsia="Consolas" w:hAnsi="Consolas"/>
          <w:color w:val="6E1F2B"/>
          <w:sz w:val="18"/>
          <w:szCs w:val="18"/>
        </w:rPr>
        <w:t xml:space="preserve">&lt;section id="v-..."&gt;</w:t>
      </w:r>
      <w:r>
        <w:t xml:space="preserve">. Views render on first visit and are cached after that; a resize past a threshold clears the cache so charts are redrawn at the new width.</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Key</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Label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start</w:t>
            </w:r>
          </w:p>
        </w:tc>
        <w:tc>
          <w:tcPr>
            <w:tcW w:type="dxa" w:w="6178"/>
            <w:tcMar>
              <w:top w:type="dxa" w:w="60"/>
              <w:left w:type="dxa" w:w="108"/>
              <w:bottom w:type="dxa" w:w="60"/>
              <w:right w:type="dxa" w:w="108"/>
            </w:tcMar>
          </w:tcPr>
          <w:p>
            <w:pPr>
              <w:spacing w:after="0" w:line="240"/>
            </w:pPr>
            <w:r>
              <w:rPr>
                <w:sz w:val="18"/>
                <w:szCs w:val="18"/>
              </w:rPr>
              <w:t xml:space="preserve">Start here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dashboard</w:t>
            </w:r>
          </w:p>
        </w:tc>
        <w:tc>
          <w:tcPr>
            <w:tcW w:type="dxa" w:w="6178"/>
            <w:tcMar>
              <w:top w:type="dxa" w:w="60"/>
              <w:left w:type="dxa" w:w="108"/>
              <w:bottom w:type="dxa" w:w="60"/>
              <w:right w:type="dxa" w:w="108"/>
            </w:tcMar>
          </w:tcPr>
          <w:p>
            <w:pPr>
              <w:spacing w:after="0" w:line="240"/>
            </w:pPr>
            <w:r>
              <w:rPr>
                <w:sz w:val="18"/>
                <w:szCs w:val="18"/>
              </w:rPr>
              <w:t xml:space="preserve">Dashboard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map</w:t>
            </w:r>
          </w:p>
        </w:tc>
        <w:tc>
          <w:tcPr>
            <w:tcW w:type="dxa" w:w="6178"/>
            <w:tcMar>
              <w:top w:type="dxa" w:w="60"/>
              <w:left w:type="dxa" w:w="108"/>
              <w:bottom w:type="dxa" w:w="60"/>
              <w:right w:type="dxa" w:w="108"/>
            </w:tcMar>
          </w:tcPr>
          <w:p>
            <w:pPr>
              <w:spacing w:after="0" w:line="240"/>
            </w:pPr>
            <w:r>
              <w:rPr>
                <w:sz w:val="18"/>
                <w:szCs w:val="18"/>
              </w:rPr>
              <w:t xml:space="preserve">Surveillance map</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analytics</w:t>
            </w:r>
          </w:p>
        </w:tc>
        <w:tc>
          <w:tcPr>
            <w:tcW w:type="dxa" w:w="6178"/>
            <w:tcMar>
              <w:top w:type="dxa" w:w="60"/>
              <w:left w:type="dxa" w:w="108"/>
              <w:bottom w:type="dxa" w:w="60"/>
              <w:right w:type="dxa" w:w="108"/>
            </w:tcMar>
          </w:tcPr>
          <w:p>
            <w:pPr>
              <w:spacing w:after="0" w:line="240"/>
            </w:pPr>
            <w:r>
              <w:rPr>
                <w:sz w:val="18"/>
                <w:szCs w:val="18"/>
              </w:rPr>
              <w:t xml:space="preserve">Trends &amp; timing</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leadtime</w:t>
            </w:r>
          </w:p>
        </w:tc>
        <w:tc>
          <w:tcPr>
            <w:tcW w:type="dxa" w:w="6178"/>
            <w:tcMar>
              <w:top w:type="dxa" w:w="60"/>
              <w:left w:type="dxa" w:w="108"/>
              <w:bottom w:type="dxa" w:w="60"/>
              <w:right w:type="dxa" w:w="108"/>
            </w:tcMar>
          </w:tcPr>
          <w:p>
            <w:pPr>
              <w:spacing w:after="0" w:line="240"/>
            </w:pPr>
            <w:r>
              <w:rPr>
                <w:sz w:val="18"/>
                <w:szCs w:val="18"/>
              </w:rPr>
              <w:t xml:space="preserve">Lead time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predictive</w:t>
            </w:r>
          </w:p>
        </w:tc>
        <w:tc>
          <w:tcPr>
            <w:tcW w:type="dxa" w:w="6178"/>
            <w:tcMar>
              <w:top w:type="dxa" w:w="60"/>
              <w:left w:type="dxa" w:w="108"/>
              <w:bottom w:type="dxa" w:w="60"/>
              <w:right w:type="dxa" w:w="108"/>
            </w:tcMar>
          </w:tcPr>
          <w:p>
            <w:pPr>
              <w:spacing w:after="0" w:line="240"/>
            </w:pPr>
            <w:r>
              <w:rPr>
                <w:sz w:val="18"/>
                <w:szCs w:val="18"/>
              </w:rPr>
              <w:t xml:space="preserve">Predictive models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equity</w:t>
            </w:r>
          </w:p>
        </w:tc>
        <w:tc>
          <w:tcPr>
            <w:tcW w:type="dxa" w:w="6178"/>
            <w:tcMar>
              <w:top w:type="dxa" w:w="60"/>
              <w:left w:type="dxa" w:w="108"/>
              <w:bottom w:type="dxa" w:w="60"/>
              <w:right w:type="dxa" w:w="108"/>
            </w:tcMar>
          </w:tcPr>
          <w:p>
            <w:pPr>
              <w:spacing w:after="0" w:line="240"/>
            </w:pPr>
            <w:r>
              <w:rPr>
                <w:sz w:val="18"/>
                <w:szCs w:val="18"/>
              </w:rPr>
              <w:t xml:space="preserve">Coverage &amp; equity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global</w:t>
            </w:r>
          </w:p>
        </w:tc>
        <w:tc>
          <w:tcPr>
            <w:tcW w:type="dxa" w:w="6178"/>
            <w:tcMar>
              <w:top w:type="dxa" w:w="60"/>
              <w:left w:type="dxa" w:w="108"/>
              <w:bottom w:type="dxa" w:w="60"/>
              <w:right w:type="dxa" w:w="108"/>
            </w:tcMar>
          </w:tcPr>
          <w:p>
            <w:pPr>
              <w:spacing w:after="0" w:line="240"/>
            </w:pPr>
            <w:r>
              <w:rPr>
                <w:sz w:val="18"/>
                <w:szCs w:val="18"/>
              </w:rPr>
              <w:t xml:space="preserve">Global coverage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tennessee</w:t>
            </w:r>
          </w:p>
        </w:tc>
        <w:tc>
          <w:tcPr>
            <w:tcW w:type="dxa" w:w="6178"/>
            <w:tcMar>
              <w:top w:type="dxa" w:w="60"/>
              <w:left w:type="dxa" w:w="108"/>
              <w:bottom w:type="dxa" w:w="60"/>
              <w:right w:type="dxa" w:w="108"/>
            </w:tcMar>
          </w:tcPr>
          <w:p>
            <w:pPr>
              <w:spacing w:after="0" w:line="240"/>
            </w:pPr>
            <w:r>
              <w:rPr>
                <w:sz w:val="18"/>
                <w:szCs w:val="18"/>
              </w:rPr>
              <w:t xml:space="preserve">Tennessee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genomics</w:t>
            </w:r>
          </w:p>
        </w:tc>
        <w:tc>
          <w:tcPr>
            <w:tcW w:type="dxa" w:w="6178"/>
            <w:tcMar>
              <w:top w:type="dxa" w:w="60"/>
              <w:left w:type="dxa" w:w="108"/>
              <w:bottom w:type="dxa" w:w="60"/>
              <w:right w:type="dxa" w:w="108"/>
            </w:tcMar>
          </w:tcPr>
          <w:p>
            <w:pPr>
              <w:spacing w:after="0" w:line="240"/>
            </w:pPr>
            <w:r>
              <w:rPr>
                <w:sz w:val="18"/>
                <w:szCs w:val="18"/>
              </w:rPr>
              <w:t xml:space="preserve">Genomics &amp; AMR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structures</w:t>
            </w:r>
          </w:p>
        </w:tc>
        <w:tc>
          <w:tcPr>
            <w:tcW w:type="dxa" w:w="6178"/>
            <w:tcMar>
              <w:top w:type="dxa" w:w="60"/>
              <w:left w:type="dxa" w:w="108"/>
              <w:bottom w:type="dxa" w:w="60"/>
              <w:right w:type="dxa" w:w="108"/>
            </w:tcMar>
          </w:tcPr>
          <w:p>
            <w:pPr>
              <w:spacing w:after="0" w:line="240"/>
            </w:pPr>
            <w:r>
              <w:rPr>
                <w:sz w:val="18"/>
                <w:szCs w:val="18"/>
              </w:rPr>
              <w:t xml:space="preserve">Protein structures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alerts</w:t>
            </w:r>
          </w:p>
        </w:tc>
        <w:tc>
          <w:tcPr>
            <w:tcW w:type="dxa" w:w="6178"/>
            <w:tcMar>
              <w:top w:type="dxa" w:w="60"/>
              <w:left w:type="dxa" w:w="108"/>
              <w:bottom w:type="dxa" w:w="60"/>
              <w:right w:type="dxa" w:w="108"/>
            </w:tcMar>
          </w:tcPr>
          <w:p>
            <w:pPr>
              <w:spacing w:after="0" w:line="240"/>
            </w:pPr>
            <w:r>
              <w:rPr>
                <w:sz w:val="18"/>
                <w:szCs w:val="18"/>
              </w:rPr>
              <w:t xml:space="preserve">Alerts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myalerts</w:t>
            </w:r>
          </w:p>
        </w:tc>
        <w:tc>
          <w:tcPr>
            <w:tcW w:type="dxa" w:w="6178"/>
            <w:tcMar>
              <w:top w:type="dxa" w:w="60"/>
              <w:left w:type="dxa" w:w="108"/>
              <w:bottom w:type="dxa" w:w="60"/>
              <w:right w:type="dxa" w:w="108"/>
            </w:tcMar>
          </w:tcPr>
          <w:p>
            <w:pPr>
              <w:spacing w:after="0" w:line="240"/>
            </w:pPr>
            <w:r>
              <w:rPr>
                <w:sz w:val="18"/>
                <w:szCs w:val="18"/>
              </w:rPr>
              <w:t xml:space="preserve">My alerts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audit</w:t>
            </w:r>
          </w:p>
        </w:tc>
        <w:tc>
          <w:tcPr>
            <w:tcW w:type="dxa" w:w="6178"/>
            <w:tcMar>
              <w:top w:type="dxa" w:w="60"/>
              <w:left w:type="dxa" w:w="108"/>
              <w:bottom w:type="dxa" w:w="60"/>
              <w:right w:type="dxa" w:w="108"/>
            </w:tcMar>
          </w:tcPr>
          <w:p>
            <w:pPr>
              <w:spacing w:after="0" w:line="240"/>
            </w:pPr>
            <w:r>
              <w:rPr>
                <w:sz w:val="18"/>
                <w:szCs w:val="18"/>
              </w:rPr>
              <w:t xml:space="preserve">Audit log</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methods</w:t>
            </w:r>
          </w:p>
        </w:tc>
        <w:tc>
          <w:tcPr>
            <w:tcW w:type="dxa" w:w="6178"/>
            <w:tcMar>
              <w:top w:type="dxa" w:w="60"/>
              <w:left w:type="dxa" w:w="108"/>
              <w:bottom w:type="dxa" w:w="60"/>
              <w:right w:type="dxa" w:w="108"/>
            </w:tcMar>
          </w:tcPr>
          <w:p>
            <w:pPr>
              <w:spacing w:after="0" w:line="240"/>
            </w:pPr>
            <w:r>
              <w:rPr>
                <w:sz w:val="18"/>
                <w:szCs w:val="18"/>
              </w:rPr>
              <w:t xml:space="preserve">Methods &amp; sources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glossary</w:t>
            </w:r>
          </w:p>
        </w:tc>
        <w:tc>
          <w:tcPr>
            <w:tcW w:type="dxa" w:w="6178"/>
            <w:tcMar>
              <w:top w:type="dxa" w:w="60"/>
              <w:left w:type="dxa" w:w="108"/>
              <w:bottom w:type="dxa" w:w="60"/>
              <w:right w:type="dxa" w:w="108"/>
            </w:tcMar>
          </w:tcPr>
          <w:p>
            <w:pPr>
              <w:spacing w:after="0" w:line="240"/>
            </w:pPr>
            <w:r>
              <w:rPr>
                <w:sz w:val="18"/>
                <w:szCs w:val="18"/>
              </w:rPr>
              <w:t xml:space="preserve">Glossary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about</w:t>
            </w:r>
          </w:p>
        </w:tc>
        <w:tc>
          <w:tcPr>
            <w:tcW w:type="dxa" w:w="6178"/>
            <w:tcMar>
              <w:top w:type="dxa" w:w="60"/>
              <w:left w:type="dxa" w:w="108"/>
              <w:bottom w:type="dxa" w:w="60"/>
              <w:right w:type="dxa" w:w="108"/>
            </w:tcMar>
          </w:tcPr>
          <w:p>
            <w:pPr>
              <w:spacing w:after="0" w:line="240"/>
            </w:pPr>
            <w:r>
              <w:rPr>
                <w:sz w:val="18"/>
                <w:szCs w:val="18"/>
              </w:rPr>
              <w:t xml:space="preserve">About &amp; contact</w:t>
            </w:r>
          </w:p>
        </w:tc>
      </w:tr>
    </w:tbl>
    <w:p>
      <w:pPr>
        <w:spacing w:after="160"/>
      </w:pPr>
    </w:p>
    <w:p>
      <w:pPr>
        <w:spacing w:after="120" w:line="276"/>
      </w:pPr>
      <w:r>
        <w:rPr>
          <w:b/>
          <w:bCs/>
        </w:rPr>
        <w:t xml:space="preserve">Adding a view</w:t>
      </w:r>
      <w:r>
        <w:t xml:space="preserve"> means four changes in </w:t>
      </w:r>
      <w:r>
        <w:rPr>
          <w:rFonts w:ascii="Consolas" w:cs="Consolas" w:eastAsia="Consolas" w:hAnsi="Consolas"/>
          <w:color w:val="6E1F2B"/>
          <w:sz w:val="18"/>
          <w:szCs w:val="18"/>
        </w:rPr>
        <w:t xml:space="preserve">template.html</w:t>
      </w:r>
      <w:r>
        <w:t xml:space="preserve">: an entry in </w:t>
      </w:r>
      <w:r>
        <w:rPr>
          <w:rFonts w:ascii="Consolas" w:cs="Consolas" w:eastAsia="Consolas" w:hAnsi="Consolas"/>
          <w:color w:val="6E1F2B"/>
          <w:sz w:val="18"/>
          <w:szCs w:val="18"/>
        </w:rPr>
        <w:t xml:space="preserve">VIEWS</w:t>
      </w:r>
      <w:r>
        <w:t xml:space="preserve">, a </w:t>
      </w:r>
      <w:r>
        <w:rPr>
          <w:rFonts w:ascii="Consolas" w:cs="Consolas" w:eastAsia="Consolas" w:hAnsi="Consolas"/>
          <w:color w:val="6E1F2B"/>
          <w:sz w:val="18"/>
          <w:szCs w:val="18"/>
        </w:rPr>
        <w:t xml:space="preserve">&lt;section class="view" id="v-yourkey" hidden&gt;</w:t>
      </w:r>
      <w:r>
        <w:t xml:space="preserve"> container, a </w:t>
      </w:r>
      <w:r>
        <w:rPr>
          <w:rFonts w:ascii="Consolas" w:cs="Consolas" w:eastAsia="Consolas" w:hAnsi="Consolas"/>
          <w:color w:val="6E1F2B"/>
          <w:sz w:val="18"/>
          <w:szCs w:val="18"/>
        </w:rPr>
        <w:t xml:space="preserve">yourkey()</w:t>
      </w:r>
      <w:r>
        <w:t xml:space="preserve"> function on </w:t>
      </w:r>
      <w:r>
        <w:rPr>
          <w:rFonts w:ascii="Consolas" w:cs="Consolas" w:eastAsia="Consolas" w:hAnsi="Consolas"/>
          <w:color w:val="6E1F2B"/>
          <w:sz w:val="18"/>
          <w:szCs w:val="18"/>
        </w:rPr>
        <w:t xml:space="preserve">RENDER</w:t>
      </w:r>
      <w:r>
        <w:t xml:space="preserve">, and whatever data it needs added to </w:t>
      </w:r>
      <w:r>
        <w:rPr>
          <w:rFonts w:ascii="Consolas" w:cs="Consolas" w:eastAsia="Consolas" w:hAnsi="Consolas"/>
          <w:color w:val="6E1F2B"/>
          <w:sz w:val="18"/>
          <w:szCs w:val="18"/>
        </w:rPr>
        <w:t xml:space="preserve">D</w:t>
      </w:r>
      <w:r>
        <w:t xml:space="preserv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Chart helpers</w:t>
      </w:r>
    </w:p>
    <w:p>
      <w:pPr>
        <w:spacing w:after="120" w:line="276"/>
      </w:pPr>
      <w:r>
        <w:t xml:space="preserve">Charts are drawn with d3 directly. These helpers exist so that every chart on the site shares behaviour and theme colours.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Helper</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does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countyMap(el, colorOf, tipOf, opts)</w:t>
            </w:r>
          </w:p>
        </w:tc>
        <w:tc>
          <w:tcPr>
            <w:tcW w:type="dxa" w:w="6178"/>
            <w:tcMar>
              <w:top w:type="dxa" w:w="60"/>
              <w:left w:type="dxa" w:w="108"/>
              <w:bottom w:type="dxa" w:w="60"/>
              <w:right w:type="dxa" w:w="108"/>
            </w:tcMar>
          </w:tcPr>
          <w:p>
            <w:pPr>
              <w:spacing w:after="0" w:line="240"/>
            </w:pPr>
            <w:r>
              <w:rPr>
                <w:sz w:val="18"/>
                <w:szCs w:val="18"/>
              </w:rPr>
              <w:t xml:space="preserve">County choropleth. </w:t>
            </w:r>
            <w:r>
              <w:rPr>
                <w:rFonts w:ascii="Consolas" w:cs="Consolas" w:eastAsia="Consolas" w:hAnsi="Consolas"/>
                <w:color w:val="6E1F2B"/>
                <w:sz w:val="18"/>
                <w:szCs w:val="18"/>
              </w:rPr>
              <w:t xml:space="preserve">opts.filter</w:t>
            </w:r>
            <w:r>
              <w:rPr>
                <w:sz w:val="18"/>
                <w:szCs w:val="18"/>
              </w:rPr>
              <w:t xml:space="preserve"> limits to a subset, </w:t>
            </w:r>
            <w:r>
              <w:rPr>
                <w:rFonts w:ascii="Consolas" w:cs="Consolas" w:eastAsia="Consolas" w:hAnsi="Consolas"/>
                <w:color w:val="6E1F2B"/>
                <w:sz w:val="18"/>
                <w:szCs w:val="18"/>
              </w:rPr>
              <w:t xml:space="preserve">opts.fit</w:t>
            </w:r>
            <w:r>
              <w:rPr>
                <w:sz w:val="18"/>
                <w:szCs w:val="18"/>
              </w:rPr>
              <w:t xml:space="preserve"> zooms to it, </w:t>
            </w:r>
            <w:r>
              <w:rPr>
                <w:rFonts w:ascii="Consolas" w:cs="Consolas" w:eastAsia="Consolas" w:hAnsi="Consolas"/>
                <w:color w:val="6E1F2B"/>
                <w:sz w:val="18"/>
                <w:szCs w:val="18"/>
              </w:rPr>
              <w:t xml:space="preserve">opts.onClick</w:t>
            </w:r>
            <w:r>
              <w:rPr>
                <w:sz w:val="18"/>
                <w:szCs w:val="18"/>
              </w:rPr>
              <w:t xml:space="preserve"> selects.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stateMap(el, colorOf, tipOf)</w:t>
            </w:r>
          </w:p>
        </w:tc>
        <w:tc>
          <w:tcPr>
            <w:tcW w:type="dxa" w:w="6178"/>
            <w:tcMar>
              <w:top w:type="dxa" w:w="60"/>
              <w:left w:type="dxa" w:w="108"/>
              <w:bottom w:type="dxa" w:w="60"/>
              <w:right w:type="dxa" w:w="108"/>
            </w:tcMar>
          </w:tcPr>
          <w:p>
            <w:pPr>
              <w:spacing w:after="0" w:line="240"/>
            </w:pPr>
            <w:r>
              <w:rPr>
                <w:sz w:val="18"/>
                <w:szCs w:val="18"/>
              </w:rPr>
              <w:t xml:space="preserve">State choropleth.</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lineChart(el, series, opts)</w:t>
            </w:r>
          </w:p>
        </w:tc>
        <w:tc>
          <w:tcPr>
            <w:tcW w:type="dxa" w:w="6178"/>
            <w:tcMar>
              <w:top w:type="dxa" w:w="60"/>
              <w:left w:type="dxa" w:w="108"/>
              <w:bottom w:type="dxa" w:w="60"/>
              <w:right w:type="dxa" w:w="108"/>
            </w:tcMar>
          </w:tcPr>
          <w:p>
            <w:pPr>
              <w:spacing w:after="0" w:line="240"/>
            </w:pPr>
            <w:r>
              <w:rPr>
                <w:sz w:val="18"/>
                <w:szCs w:val="18"/>
              </w:rPr>
              <w:t xml:space="preserve">Multi-series time series. </w:t>
            </w:r>
            <w:r>
              <w:rPr>
                <w:rFonts w:ascii="Consolas" w:cs="Consolas" w:eastAsia="Consolas" w:hAnsi="Consolas"/>
                <w:color w:val="6E1F2B"/>
                <w:sz w:val="18"/>
                <w:szCs w:val="18"/>
              </w:rPr>
              <w:t xml:space="preserve">series</w:t>
            </w:r>
            <w:r>
              <w:rPr>
                <w:sz w:val="18"/>
                <w:szCs w:val="18"/>
              </w:rPr>
              <w:t xml:space="preserve"> take </w:t>
            </w:r>
            <w:r>
              <w:rPr>
                <w:rFonts w:ascii="Consolas" w:cs="Consolas" w:eastAsia="Consolas" w:hAnsi="Consolas"/>
                <w:color w:val="6E1F2B"/>
                <w:sz w:val="18"/>
                <w:szCs w:val="18"/>
              </w:rPr>
              <w:t xml:space="preserve">{name, color, values:[[Date, value]]}</w:t>
            </w:r>
            <w:r>
              <w:rPr>
                <w:sz w:val="18"/>
                <w:szCs w:val="18"/>
              </w:rPr>
              <w:t xml:space="preserv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spark(el, values, color, opts)</w:t>
            </w:r>
          </w:p>
        </w:tc>
        <w:tc>
          <w:tcPr>
            <w:tcW w:type="dxa" w:w="6178"/>
            <w:tcMar>
              <w:top w:type="dxa" w:w="60"/>
              <w:left w:type="dxa" w:w="108"/>
              <w:bottom w:type="dxa" w:w="60"/>
              <w:right w:type="dxa" w:w="108"/>
            </w:tcMar>
          </w:tcPr>
          <w:p>
            <w:pPr>
              <w:spacing w:after="0" w:line="240"/>
            </w:pPr>
            <w:r>
              <w:rPr>
                <w:sz w:val="18"/>
                <w:szCs w:val="18"/>
              </w:rPr>
              <w:t xml:space="preserve">Inline sparkline.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hbars(el, rows, opts)</w:t>
            </w:r>
          </w:p>
        </w:tc>
        <w:tc>
          <w:tcPr>
            <w:tcW w:type="dxa" w:w="6178"/>
            <w:tcMar>
              <w:top w:type="dxa" w:w="60"/>
              <w:left w:type="dxa" w:w="108"/>
              <w:bottom w:type="dxa" w:w="60"/>
              <w:right w:type="dxa" w:w="108"/>
            </w:tcMar>
          </w:tcPr>
          <w:p>
            <w:pPr>
              <w:spacing w:after="0" w:line="240"/>
            </w:pPr>
            <w:r>
              <w:rPr>
                <w:sz w:val="18"/>
                <w:szCs w:val="18"/>
              </w:rPr>
              <w:t xml:space="preserve">Horizontal bars. </w:t>
            </w:r>
            <w:r>
              <w:rPr>
                <w:rFonts w:ascii="Consolas" w:cs="Consolas" w:eastAsia="Consolas" w:hAnsi="Consolas"/>
                <w:color w:val="6E1F2B"/>
                <w:sz w:val="18"/>
                <w:szCs w:val="18"/>
              </w:rPr>
              <w:t xml:space="preserve">rows</w:t>
            </w:r>
            <w:r>
              <w:rPr>
                <w:sz w:val="18"/>
                <w:szCs w:val="18"/>
              </w:rPr>
              <w:t xml:space="preserve"> take </w:t>
            </w:r>
            <w:r>
              <w:rPr>
                <w:rFonts w:ascii="Consolas" w:cs="Consolas" w:eastAsia="Consolas" w:hAnsi="Consolas"/>
                <w:color w:val="6E1F2B"/>
                <w:sz w:val="18"/>
                <w:szCs w:val="18"/>
              </w:rPr>
              <w:t xml:space="preserve">{label, v, color}</w:t>
            </w:r>
            <w:r>
              <w:rPr>
                <w:sz w:val="18"/>
                <w:szCs w:val="18"/>
              </w:rPr>
              <w:t xml:space="preserv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groupedBars(el, groups, keys, colors, opts)</w:t>
            </w:r>
          </w:p>
        </w:tc>
        <w:tc>
          <w:tcPr>
            <w:tcW w:type="dxa" w:w="6178"/>
            <w:tcMar>
              <w:top w:type="dxa" w:w="60"/>
              <w:left w:type="dxa" w:w="108"/>
              <w:bottom w:type="dxa" w:w="60"/>
              <w:right w:type="dxa" w:w="108"/>
            </w:tcMar>
          </w:tcPr>
          <w:p>
            <w:pPr>
              <w:spacing w:after="0" w:line="240"/>
            </w:pPr>
            <w:r>
              <w:rPr>
                <w:sz w:val="18"/>
                <w:szCs w:val="18"/>
              </w:rPr>
              <w:t xml:space="preserve">Grouped bars. Non-finite values are drawn as </w:t>
            </w:r>
            <w:r>
              <w:rPr>
                <w:rFonts w:ascii="Consolas" w:cs="Consolas" w:eastAsia="Consolas" w:hAnsi="Consolas"/>
                <w:color w:val="6E1F2B"/>
                <w:sz w:val="18"/>
                <w:szCs w:val="18"/>
              </w:rPr>
              <w:t xml:space="preserve">n/a</w:t>
            </w:r>
            <w:r>
              <w:rPr>
                <w:sz w:val="18"/>
                <w:szCs w:val="18"/>
              </w:rPr>
              <w:t xml:space="preserve"> rather than as a bar.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donut(el, frac, slices, opts)</w:t>
            </w:r>
          </w:p>
        </w:tc>
        <w:tc>
          <w:tcPr>
            <w:tcW w:type="dxa" w:w="6178"/>
            <w:tcMar>
              <w:top w:type="dxa" w:w="60"/>
              <w:left w:type="dxa" w:w="108"/>
              <w:bottom w:type="dxa" w:w="60"/>
              <w:right w:type="dxa" w:w="108"/>
            </w:tcMar>
          </w:tcPr>
          <w:p>
            <w:pPr>
              <w:spacing w:after="0" w:line="240"/>
            </w:pPr>
            <w:r>
              <w:rPr>
                <w:sz w:val="18"/>
                <w:szCs w:val="18"/>
              </w:rPr>
              <w:t xml:space="preserve">Ring with a centred percentage.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legend(items)</w:t>
            </w:r>
          </w:p>
        </w:tc>
        <w:tc>
          <w:tcPr>
            <w:tcW w:type="dxa" w:w="6178"/>
            <w:tcMar>
              <w:top w:type="dxa" w:w="60"/>
              <w:left w:type="dxa" w:w="108"/>
              <w:bottom w:type="dxa" w:w="60"/>
              <w:right w:type="dxa" w:w="108"/>
            </w:tcMar>
          </w:tcPr>
          <w:p>
            <w:pPr>
              <w:spacing w:after="0" w:line="240"/>
            </w:pPr>
            <w:r>
              <w:rPr>
                <w:sz w:val="18"/>
                <w:szCs w:val="18"/>
              </w:rPr>
              <w:t xml:space="preserve">Swatch legend.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notLoaded(what, source, detail)</w:t>
            </w:r>
          </w:p>
        </w:tc>
        <w:tc>
          <w:tcPr>
            <w:tcW w:type="dxa" w:w="6178"/>
            <w:tcMar>
              <w:top w:type="dxa" w:w="60"/>
              <w:left w:type="dxa" w:w="108"/>
              <w:bottom w:type="dxa" w:w="60"/>
              <w:right w:type="dxa" w:w="108"/>
            </w:tcMar>
          </w:tcPr>
          <w:p>
            <w:pPr>
              <w:spacing w:after="0" w:line="240"/>
            </w:pPr>
            <w:r>
              <w:rPr>
                <w:sz w:val="18"/>
                <w:szCs w:val="18"/>
              </w:rPr>
              <w:t xml:space="preserve">The empty state. Names the source and the mechanism of its absence.</w:t>
            </w:r>
          </w:p>
        </w:tc>
      </w:tr>
    </w:tbl>
    <w:p>
      <w:pPr>
        <w:spacing w:after="160"/>
      </w:pPr>
    </w:p>
    <w:p>
      <w:pPr>
        <w:spacing w:after="120" w:line="276"/>
      </w:pPr>
      <w:r>
        <w:rPr>
          <w:rFonts w:ascii="Consolas" w:cs="Consolas" w:eastAsia="Consolas" w:hAnsi="Consolas"/>
          <w:b/>
          <w:bCs/>
          <w:color w:val="6E1F2B"/>
          <w:sz w:val="18"/>
          <w:szCs w:val="18"/>
        </w:rPr>
        <w:t xml:space="preserve">notLoaded</w:t>
      </w:r>
      <w:r>
        <w:rPr>
          <w:b/>
          <w:bCs/>
        </w:rPr>
        <w:t xml:space="preserve"> is not decoration.</w:t>
      </w:r>
      <w:r>
        <w:t xml:space="preserve"> Whenever a layer has no data, the panel must say which source did not load and why. An empty panel that explains itself is the difference between a missing measurement and a missing source, and the two mean entirely different things to a reader.</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5. Theme and colour</w:t>
      </w:r>
    </w:p>
    <w:p>
      <w:pPr>
        <w:spacing w:after="120" w:line="276"/>
      </w:pPr>
      <w:r>
        <w:t xml:space="preserve">Colours are CSS custom properties on </w:t>
      </w:r>
      <w:r>
        <w:rPr>
          <w:rFonts w:ascii="Consolas" w:cs="Consolas" w:eastAsia="Consolas" w:hAnsi="Consolas"/>
          <w:color w:val="6E1F2B"/>
          <w:sz w:val="18"/>
          <w:szCs w:val="18"/>
        </w:rPr>
        <w:t xml:space="preserve">:root</w:t>
      </w:r>
      <w:r>
        <w:t xml:space="preserve">, redefined for dark mode under both </w:t>
      </w:r>
      <w:r>
        <w:rPr>
          <w:rFonts w:ascii="Consolas" w:cs="Consolas" w:eastAsia="Consolas" w:hAnsi="Consolas"/>
          <w:color w:val="6E1F2B"/>
          <w:sz w:val="18"/>
          <w:szCs w:val="18"/>
        </w:rPr>
        <w:t xml:space="preserve">@media (prefers-color-scheme: dark)</w:t>
      </w:r>
      <w:r>
        <w:t xml:space="preserve"> and </w:t>
      </w:r>
      <w:r>
        <w:rPr>
          <w:rFonts w:ascii="Consolas" w:cs="Consolas" w:eastAsia="Consolas" w:hAnsi="Consolas"/>
          <w:color w:val="6E1F2B"/>
          <w:sz w:val="18"/>
          <w:szCs w:val="18"/>
        </w:rPr>
        <w:t xml:space="preserve">:root[data-theme="dark"]</w:t>
      </w:r>
      <w:r>
        <w:t xml:space="preserve">. Charts read them through </w:t>
      </w:r>
      <w:r>
        <w:rPr>
          <w:rFonts w:ascii="Consolas" w:cs="Consolas" w:eastAsia="Consolas" w:hAnsi="Consolas"/>
          <w:color w:val="6E1F2B"/>
          <w:sz w:val="18"/>
          <w:szCs w:val="18"/>
        </w:rPr>
        <w:t xml:space="preserve">css('--token')</w:t>
      </w:r>
      <w:r>
        <w:t xml:space="preserve"> at draw time rather than hardcoding hex values, which is why they stay legible when the theme changes.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Tokens</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--navy</w:t>
            </w:r>
            <w:r>
              <w:rPr>
                <w:sz w:val="18"/>
                <w:szCs w:val="18"/>
              </w:rPr>
              <w:t xml:space="preserve">, </w:t>
            </w:r>
            <w:r>
              <w:rPr>
                <w:rFonts w:ascii="Consolas" w:cs="Consolas" w:eastAsia="Consolas" w:hAnsi="Consolas"/>
                <w:color w:val="6E1F2B"/>
                <w:sz w:val="18"/>
                <w:szCs w:val="18"/>
              </w:rPr>
              <w:t xml:space="preserve">--wine</w:t>
            </w:r>
            <w:r>
              <w:rPr>
                <w:sz w:val="18"/>
                <w:szCs w:val="18"/>
              </w:rPr>
              <w:t xml:space="preserve">, </w:t>
            </w:r>
            <w:r>
              <w:rPr>
                <w:rFonts w:ascii="Consolas" w:cs="Consolas" w:eastAsia="Consolas" w:hAnsi="Consolas"/>
                <w:color w:val="6E1F2B"/>
                <w:sz w:val="18"/>
                <w:szCs w:val="18"/>
              </w:rPr>
              <w:t xml:space="preserve">--gold</w:t>
            </w:r>
          </w:p>
        </w:tc>
        <w:tc>
          <w:tcPr>
            <w:tcW w:type="dxa" w:w="6178"/>
            <w:tcMar>
              <w:top w:type="dxa" w:w="60"/>
              <w:left w:type="dxa" w:w="108"/>
              <w:bottom w:type="dxa" w:w="60"/>
              <w:right w:type="dxa" w:w="108"/>
            </w:tcMar>
          </w:tcPr>
          <w:p>
            <w:pPr>
              <w:spacing w:after="0" w:line="240"/>
            </w:pPr>
            <w:r>
              <w:rPr>
                <w:sz w:val="18"/>
                <w:szCs w:val="18"/>
              </w:rPr>
              <w:t xml:space="preserve">Brand palette.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--ink</w:t>
            </w:r>
            <w:r>
              <w:rPr>
                <w:sz w:val="18"/>
                <w:szCs w:val="18"/>
              </w:rPr>
              <w:t xml:space="preserve">, </w:t>
            </w:r>
            <w:r>
              <w:rPr>
                <w:rFonts w:ascii="Consolas" w:cs="Consolas" w:eastAsia="Consolas" w:hAnsi="Consolas"/>
                <w:color w:val="6E1F2B"/>
                <w:sz w:val="18"/>
                <w:szCs w:val="18"/>
              </w:rPr>
              <w:t xml:space="preserve">--muted</w:t>
            </w:r>
            <w:r>
              <w:rPr>
                <w:sz w:val="18"/>
                <w:szCs w:val="18"/>
              </w:rPr>
              <w:t xml:space="preserve">, </w:t>
            </w:r>
            <w:r>
              <w:rPr>
                <w:rFonts w:ascii="Consolas" w:cs="Consolas" w:eastAsia="Consolas" w:hAnsi="Consolas"/>
                <w:color w:val="6E1F2B"/>
                <w:sz w:val="18"/>
                <w:szCs w:val="18"/>
              </w:rPr>
              <w:t xml:space="preserve">--line</w:t>
            </w:r>
            <w:r>
              <w:rPr>
                <w:sz w:val="18"/>
                <w:szCs w:val="18"/>
              </w:rPr>
              <w:t xml:space="preserve">, </w:t>
            </w:r>
            <w:r>
              <w:rPr>
                <w:rFonts w:ascii="Consolas" w:cs="Consolas" w:eastAsia="Consolas" w:hAnsi="Consolas"/>
                <w:color w:val="6E1F2B"/>
                <w:sz w:val="18"/>
                <w:szCs w:val="18"/>
              </w:rPr>
              <w:t xml:space="preserve">--surface</w:t>
            </w:r>
            <w:r>
              <w:rPr>
                <w:sz w:val="18"/>
                <w:szCs w:val="18"/>
              </w:rPr>
              <w:t xml:space="preserve">, </w:t>
            </w:r>
            <w:r>
              <w:rPr>
                <w:rFonts w:ascii="Consolas" w:cs="Consolas" w:eastAsia="Consolas" w:hAnsi="Consolas"/>
                <w:color w:val="6E1F2B"/>
                <w:sz w:val="18"/>
                <w:szCs w:val="18"/>
              </w:rPr>
              <w:t xml:space="preserve">--bg</w:t>
            </w:r>
          </w:p>
        </w:tc>
        <w:tc>
          <w:tcPr>
            <w:tcW w:type="dxa" w:w="6178"/>
            <w:tcMar>
              <w:top w:type="dxa" w:w="60"/>
              <w:left w:type="dxa" w:w="108"/>
              <w:bottom w:type="dxa" w:w="60"/>
              <w:right w:type="dxa" w:w="108"/>
            </w:tcMar>
          </w:tcPr>
          <w:p>
            <w:pPr>
              <w:spacing w:after="0" w:line="240"/>
            </w:pPr>
            <w:r>
              <w:rPr>
                <w:sz w:val="18"/>
                <w:szCs w:val="18"/>
              </w:rPr>
              <w:t xml:space="preserve">Text, rules and backgrounds.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--vl</w:t>
            </w:r>
            <w:r>
              <w:rPr>
                <w:sz w:val="18"/>
                <w:szCs w:val="18"/>
              </w:rPr>
              <w:t xml:space="preserve">, </w:t>
            </w:r>
            <w:r>
              <w:rPr>
                <w:rFonts w:ascii="Consolas" w:cs="Consolas" w:eastAsia="Consolas" w:hAnsi="Consolas"/>
                <w:color w:val="6E1F2B"/>
                <w:sz w:val="18"/>
                <w:szCs w:val="18"/>
              </w:rPr>
              <w:t xml:space="preserve">--lo</w:t>
            </w:r>
            <w:r>
              <w:rPr>
                <w:sz w:val="18"/>
                <w:szCs w:val="18"/>
              </w:rPr>
              <w:t xml:space="preserve">, </w:t>
            </w:r>
            <w:r>
              <w:rPr>
                <w:rFonts w:ascii="Consolas" w:cs="Consolas" w:eastAsia="Consolas" w:hAnsi="Consolas"/>
                <w:color w:val="6E1F2B"/>
                <w:sz w:val="18"/>
                <w:szCs w:val="18"/>
              </w:rPr>
              <w:t xml:space="preserve">--typ</w:t>
            </w:r>
            <w:r>
              <w:rPr>
                <w:sz w:val="18"/>
                <w:szCs w:val="18"/>
              </w:rPr>
              <w:t xml:space="preserve">, </w:t>
            </w:r>
            <w:r>
              <w:rPr>
                <w:rFonts w:ascii="Consolas" w:cs="Consolas" w:eastAsia="Consolas" w:hAnsi="Consolas"/>
                <w:color w:val="6E1F2B"/>
                <w:sz w:val="18"/>
                <w:szCs w:val="18"/>
              </w:rPr>
              <w:t xml:space="preserve">--el</w:t>
            </w:r>
            <w:r>
              <w:rPr>
                <w:sz w:val="18"/>
                <w:szCs w:val="18"/>
              </w:rPr>
              <w:t xml:space="preserve">, </w:t>
            </w:r>
            <w:r>
              <w:rPr>
                <w:rFonts w:ascii="Consolas" w:cs="Consolas" w:eastAsia="Consolas" w:hAnsi="Consolas"/>
                <w:color w:val="6E1F2B"/>
                <w:sz w:val="18"/>
                <w:szCs w:val="18"/>
              </w:rPr>
              <w:t xml:space="preserve">--hi</w:t>
            </w:r>
          </w:p>
        </w:tc>
        <w:tc>
          <w:tcPr>
            <w:tcW w:type="dxa" w:w="6178"/>
            <w:tcMar>
              <w:top w:type="dxa" w:w="60"/>
              <w:left w:type="dxa" w:w="108"/>
              <w:bottom w:type="dxa" w:w="60"/>
              <w:right w:type="dxa" w:w="108"/>
            </w:tcMar>
          </w:tcPr>
          <w:p>
            <w:pPr>
              <w:spacing w:after="0" w:line="240"/>
            </w:pPr>
            <w:r>
              <w:rPr>
                <w:sz w:val="18"/>
                <w:szCs w:val="18"/>
              </w:rPr>
              <w:t xml:space="preserve">Activity levels, Very Low through High.</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--ok</w:t>
            </w:r>
            <w:r>
              <w:rPr>
                <w:sz w:val="18"/>
                <w:szCs w:val="18"/>
              </w:rPr>
              <w:t xml:space="preserve">, </w:t>
            </w:r>
            <w:r>
              <w:rPr>
                <w:rFonts w:ascii="Consolas" w:cs="Consolas" w:eastAsia="Consolas" w:hAnsi="Consolas"/>
                <w:color w:val="6E1F2B"/>
                <w:sz w:val="18"/>
                <w:szCs w:val="18"/>
              </w:rPr>
              <w:t xml:space="preserve">--warn</w:t>
            </w:r>
            <w:r>
              <w:rPr>
                <w:sz w:val="18"/>
                <w:szCs w:val="18"/>
              </w:rPr>
              <w:t xml:space="preserve">, </w:t>
            </w:r>
            <w:r>
              <w:rPr>
                <w:rFonts w:ascii="Consolas" w:cs="Consolas" w:eastAsia="Consolas" w:hAnsi="Consolas"/>
                <w:color w:val="6E1F2B"/>
                <w:sz w:val="18"/>
                <w:szCs w:val="18"/>
              </w:rPr>
              <w:t xml:space="preserve">--nodata</w:t>
            </w:r>
          </w:p>
        </w:tc>
        <w:tc>
          <w:tcPr>
            <w:tcW w:type="dxa" w:w="6178"/>
            <w:tcMar>
              <w:top w:type="dxa" w:w="60"/>
              <w:left w:type="dxa" w:w="108"/>
              <w:bottom w:type="dxa" w:w="60"/>
              <w:right w:type="dxa" w:w="108"/>
            </w:tcMar>
          </w:tcPr>
          <w:p>
            <w:pPr>
              <w:spacing w:after="0" w:line="240"/>
            </w:pPr>
            <w:r>
              <w:rPr>
                <w:sz w:val="18"/>
                <w:szCs w:val="18"/>
              </w:rPr>
              <w:t xml:space="preserve">Status colours.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--display</w:t>
            </w:r>
            <w:r>
              <w:rPr>
                <w:sz w:val="18"/>
                <w:szCs w:val="18"/>
              </w:rPr>
              <w:t xml:space="preserve">, </w:t>
            </w:r>
            <w:r>
              <w:rPr>
                <w:rFonts w:ascii="Consolas" w:cs="Consolas" w:eastAsia="Consolas" w:hAnsi="Consolas"/>
                <w:color w:val="6E1F2B"/>
                <w:sz w:val="18"/>
                <w:szCs w:val="18"/>
              </w:rPr>
              <w:t xml:space="preserve">--body</w:t>
            </w:r>
            <w:r>
              <w:rPr>
                <w:sz w:val="18"/>
                <w:szCs w:val="18"/>
              </w:rPr>
              <w:t xml:space="preserve">, </w:t>
            </w:r>
            <w:r>
              <w:rPr>
                <w:rFonts w:ascii="Consolas" w:cs="Consolas" w:eastAsia="Consolas" w:hAnsi="Consolas"/>
                <w:color w:val="6E1F2B"/>
                <w:sz w:val="18"/>
                <w:szCs w:val="18"/>
              </w:rPr>
              <w:t xml:space="preserve">--mono</w:t>
            </w:r>
          </w:p>
        </w:tc>
        <w:tc>
          <w:tcPr>
            <w:tcW w:type="dxa" w:w="6178"/>
            <w:tcMar>
              <w:top w:type="dxa" w:w="60"/>
              <w:left w:type="dxa" w:w="108"/>
              <w:bottom w:type="dxa" w:w="60"/>
              <w:right w:type="dxa" w:w="108"/>
            </w:tcMar>
          </w:tcPr>
          <w:p>
            <w:pPr>
              <w:spacing w:after="0" w:line="240"/>
            </w:pPr>
            <w:r>
              <w:rPr>
                <w:sz w:val="18"/>
                <w:szCs w:val="18"/>
              </w:rPr>
              <w:t xml:space="preserve">Fraunces, Inter and IBM Plex Mono.</w:t>
            </w:r>
          </w:p>
        </w:tc>
      </w:tr>
    </w:tbl>
    <w:p>
      <w:pPr>
        <w:spacing w:after="160"/>
      </w:pPr>
    </w:p>
    <w:p>
      <w:pPr>
        <w:spacing w:after="120" w:line="276"/>
      </w:pPr>
      <w:r>
        <w:t xml:space="preserve">A chart that hardcodes a hex value will be invisible on one of the two themes. This has happened and been fixed; prefer </w:t>
      </w:r>
      <w:r>
        <w:rPr>
          <w:rFonts w:ascii="Consolas" w:cs="Consolas" w:eastAsia="Consolas" w:hAnsi="Consolas"/>
          <w:color w:val="6E1F2B"/>
          <w:sz w:val="18"/>
          <w:szCs w:val="18"/>
        </w:rPr>
        <w:t xml:space="preserve">css('--token')</w:t>
      </w:r>
      <w:r>
        <w:t xml:space="preserv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6. Layout</w:t>
      </w:r>
    </w:p>
    <w:p>
      <w:pPr>
        <w:spacing w:after="120" w:line="276"/>
      </w:pPr>
      <w:r>
        <w:t xml:space="preserve">A twelve-column grid (</w:t>
      </w:r>
      <w:r>
        <w:rPr>
          <w:rFonts w:ascii="Consolas" w:cs="Consolas" w:eastAsia="Consolas" w:hAnsi="Consolas"/>
          <w:color w:val="6E1F2B"/>
          <w:sz w:val="18"/>
          <w:szCs w:val="18"/>
        </w:rPr>
        <w:t xml:space="preserve">.grid</w:t>
      </w:r>
      <w:r>
        <w:t xml:space="preserve"> with </w:t>
      </w:r>
      <w:r>
        <w:rPr>
          <w:rFonts w:ascii="Consolas" w:cs="Consolas" w:eastAsia="Consolas" w:hAnsi="Consolas"/>
          <w:color w:val="6E1F2B"/>
          <w:sz w:val="18"/>
          <w:szCs w:val="18"/>
        </w:rPr>
        <w:t xml:space="preserve">.c3</w:t>
      </w:r>
      <w:r>
        <w:t xml:space="preserve"> to </w:t>
      </w:r>
      <w:r>
        <w:rPr>
          <w:rFonts w:ascii="Consolas" w:cs="Consolas" w:eastAsia="Consolas" w:hAnsi="Consolas"/>
          <w:color w:val="6E1F2B"/>
          <w:sz w:val="18"/>
          <w:szCs w:val="18"/>
        </w:rPr>
        <w:t xml:space="preserve">.c12</w:t>
      </w:r>
      <w:r>
        <w:t xml:space="preserve">) with </w:t>
      </w:r>
      <w:r>
        <w:rPr>
          <w:rFonts w:ascii="Consolas" w:cs="Consolas" w:eastAsia="Consolas" w:hAnsi="Consolas"/>
          <w:color w:val="6E1F2B"/>
          <w:sz w:val="18"/>
          <w:szCs w:val="18"/>
        </w:rPr>
        <w:t xml:space="preserve">align-items:start</w:t>
      </w:r>
      <w:r>
        <w:t xml:space="preserve">, so a short panel does not stretch to its neighbour's height. Where that leaves a visible gap, the fix is to rebalance the row rather than to stretch the panels: a tall panel is usually better given its own full-width row.</w:t>
      </w:r>
    </w:p>
    <w:p>
      <w:pPr>
        <w:spacing w:after="120" w:line="276"/>
      </w:pPr>
      <w:r>
        <w:t xml:space="preserve">Wide tables carry </w:t>
      </w:r>
      <w:r>
        <w:rPr>
          <w:rFonts w:ascii="Consolas" w:cs="Consolas" w:eastAsia="Consolas" w:hAnsi="Consolas"/>
          <w:color w:val="6E1F2B"/>
          <w:sz w:val="18"/>
          <w:szCs w:val="18"/>
        </w:rPr>
        <w:t xml:space="preserve">class="stack"</w:t>
      </w:r>
      <w:r>
        <w:t xml:space="preserve">, which collapses them into labelled blocks below roughly 760px using each cell's </w:t>
      </w:r>
      <w:r>
        <w:rPr>
          <w:rFonts w:ascii="Consolas" w:cs="Consolas" w:eastAsia="Consolas" w:hAnsi="Consolas"/>
          <w:color w:val="6E1F2B"/>
          <w:sz w:val="18"/>
          <w:szCs w:val="18"/>
        </w:rPr>
        <w:t xml:space="preserve">data-l</w:t>
      </w:r>
      <w:r>
        <w:t xml:space="preserve"> attribute as its label.</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7. Runtime dependencies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Dependency</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Version</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Origin</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3dmol</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2.4.0</w:t>
            </w:r>
          </w:p>
        </w:tc>
        <w:tc>
          <w:tcPr>
            <w:tcW w:type="dxa" w:w="2308"/>
            <w:tcMar>
              <w:top w:type="dxa" w:w="60"/>
              <w:left w:type="dxa" w:w="108"/>
              <w:bottom w:type="dxa" w:w="60"/>
              <w:right w:type="dxa" w:w="108"/>
            </w:tcMar>
          </w:tcPr>
          <w:p>
            <w:pPr>
              <w:spacing w:after="0" w:line="240"/>
            </w:pPr>
            <w:r>
              <w:rPr>
                <w:sz w:val="18"/>
                <w:szCs w:val="18"/>
              </w:rPr>
              <w:t xml:space="preserve">cdn.jsdelivr.net</w:t>
            </w:r>
          </w:p>
        </w:tc>
        <w:tc>
          <w:tcPr>
            <w:tcW w:type="dxa" w:w="2310"/>
            <w:tcMar>
              <w:top w:type="dxa" w:w="60"/>
              <w:left w:type="dxa" w:w="108"/>
              <w:bottom w:type="dxa" w:w="60"/>
              <w:right w:type="dxa" w:w="108"/>
            </w:tcMar>
          </w:tcPr>
          <w:p>
            <w:pPr>
              <w:spacing w:after="0" w:line="240"/>
            </w:pPr>
            <w:r>
              <w:rPr>
                <w:sz w:val="18"/>
                <w:szCs w:val="18"/>
              </w:rPr>
              <w:t xml:space="preserve">Protein viewer, loaded on demand</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supabase-js</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2.45.4</w:t>
            </w:r>
          </w:p>
        </w:tc>
        <w:tc>
          <w:tcPr>
            <w:tcW w:type="dxa" w:w="2308"/>
            <w:tcMar>
              <w:top w:type="dxa" w:w="60"/>
              <w:left w:type="dxa" w:w="108"/>
              <w:bottom w:type="dxa" w:w="60"/>
              <w:right w:type="dxa" w:w="108"/>
            </w:tcMar>
          </w:tcPr>
          <w:p>
            <w:pPr>
              <w:spacing w:after="0" w:line="240"/>
            </w:pPr>
            <w:r>
              <w:rPr>
                <w:sz w:val="18"/>
                <w:szCs w:val="18"/>
              </w:rPr>
              <w:t xml:space="preserve">cdn.jsdelivr.net</w:t>
            </w:r>
          </w:p>
        </w:tc>
        <w:tc>
          <w:tcPr>
            <w:tcW w:type="dxa" w:w="2310"/>
            <w:tcMar>
              <w:top w:type="dxa" w:w="60"/>
              <w:left w:type="dxa" w:w="108"/>
              <w:bottom w:type="dxa" w:w="60"/>
              <w:right w:type="dxa" w:w="108"/>
            </w:tcMar>
          </w:tcPr>
          <w:p>
            <w:pPr>
              <w:spacing w:after="0" w:line="240"/>
            </w:pPr>
            <w:r>
              <w:rPr>
                <w:sz w:val="18"/>
                <w:szCs w:val="18"/>
              </w:rPr>
              <w:t xml:space="preserve">Sign-in and saved alerts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d3</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7.8.5</w:t>
            </w:r>
          </w:p>
        </w:tc>
        <w:tc>
          <w:tcPr>
            <w:tcW w:type="dxa" w:w="2308"/>
            <w:tcMar>
              <w:top w:type="dxa" w:w="60"/>
              <w:left w:type="dxa" w:w="108"/>
              <w:bottom w:type="dxa" w:w="60"/>
              <w:right w:type="dxa" w:w="108"/>
            </w:tcMar>
          </w:tcPr>
          <w:p>
            <w:pPr>
              <w:spacing w:after="0" w:line="240"/>
            </w:pPr>
            <w:r>
              <w:rPr>
                <w:sz w:val="18"/>
                <w:szCs w:val="18"/>
              </w:rPr>
              <w:t xml:space="preserve">cdnjs.cloudflare.com</w:t>
            </w:r>
          </w:p>
        </w:tc>
        <w:tc>
          <w:tcPr>
            <w:tcW w:type="dxa" w:w="2310"/>
            <w:tcMar>
              <w:top w:type="dxa" w:w="60"/>
              <w:left w:type="dxa" w:w="108"/>
              <w:bottom w:type="dxa" w:w="60"/>
              <w:right w:type="dxa" w:w="108"/>
            </w:tcMar>
          </w:tcPr>
          <w:p>
            <w:pPr>
              <w:spacing w:after="0" w:line="240"/>
            </w:pPr>
            <w:r>
              <w:rPr>
                <w:sz w:val="18"/>
                <w:szCs w:val="18"/>
              </w:rPr>
              <w:t xml:space="preserve">Charts and maps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topojson</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3.0.2</w:t>
            </w:r>
          </w:p>
        </w:tc>
        <w:tc>
          <w:tcPr>
            <w:tcW w:type="dxa" w:w="2308"/>
            <w:tcMar>
              <w:top w:type="dxa" w:w="60"/>
              <w:left w:type="dxa" w:w="108"/>
              <w:bottom w:type="dxa" w:w="60"/>
              <w:right w:type="dxa" w:w="108"/>
            </w:tcMar>
          </w:tcPr>
          <w:p>
            <w:pPr>
              <w:spacing w:after="0" w:line="240"/>
            </w:pPr>
            <w:r>
              <w:rPr>
                <w:sz w:val="18"/>
                <w:szCs w:val="18"/>
              </w:rPr>
              <w:t xml:space="preserve">cdnjs.cloudflare.com</w:t>
            </w:r>
          </w:p>
        </w:tc>
        <w:tc>
          <w:tcPr>
            <w:tcW w:type="dxa" w:w="2310"/>
            <w:tcMar>
              <w:top w:type="dxa" w:w="60"/>
              <w:left w:type="dxa" w:w="108"/>
              <w:bottom w:type="dxa" w:w="60"/>
              <w:right w:type="dxa" w:w="108"/>
            </w:tcMar>
          </w:tcPr>
          <w:p>
            <w:pPr>
              <w:spacing w:after="0" w:line="240"/>
            </w:pPr>
            <w:r>
              <w:rPr>
                <w:sz w:val="18"/>
                <w:szCs w:val="18"/>
              </w:rPr>
              <w:t xml:space="preserve">County and state geometry</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Structure files</w:t>
            </w:r>
          </w:p>
        </w:tc>
        <w:tc>
          <w:tcPr>
            <w:tcW w:type="dxa" w:w="2308"/>
            <w:tcMar>
              <w:top w:type="dxa" w:w="60"/>
              <w:left w:type="dxa" w:w="108"/>
              <w:bottom w:type="dxa" w:w="60"/>
              <w:right w:type="dxa" w:w="108"/>
            </w:tcMar>
          </w:tcPr>
          <w:p>
            <w:pPr>
              <w:spacing w:after="0" w:line="240"/>
            </w:pPr>
            <w:r>
              <w:rPr>
                <w:sz w:val="18"/>
                <w:szCs w:val="18"/>
              </w:rPr>
              <w:t xml:space="preserve">-</w:t>
            </w:r>
          </w:p>
        </w:tc>
        <w:tc>
          <w:tcPr>
            <w:tcW w:type="dxa" w:w="2308"/>
            <w:tcMar>
              <w:top w:type="dxa" w:w="60"/>
              <w:left w:type="dxa" w:w="108"/>
              <w:bottom w:type="dxa" w:w="60"/>
              <w:right w:type="dxa" w:w="108"/>
            </w:tcMar>
          </w:tcPr>
          <w:p>
            <w:pPr>
              <w:spacing w:after="0" w:line="240"/>
            </w:pPr>
            <w:r>
              <w:rPr>
                <w:sz w:val="18"/>
                <w:szCs w:val="18"/>
              </w:rPr>
              <w:t xml:space="preserve">files.rcsb.org</w:t>
            </w:r>
          </w:p>
        </w:tc>
        <w:tc>
          <w:tcPr>
            <w:tcW w:type="dxa" w:w="2310"/>
            <w:tcMar>
              <w:top w:type="dxa" w:w="60"/>
              <w:left w:type="dxa" w:w="108"/>
              <w:bottom w:type="dxa" w:w="60"/>
              <w:right w:type="dxa" w:w="108"/>
            </w:tcMar>
          </w:tcPr>
          <w:p>
            <w:pPr>
              <w:spacing w:after="0" w:line="240"/>
            </w:pPr>
            <w:r>
              <w:rPr>
                <w:sz w:val="18"/>
                <w:szCs w:val="18"/>
              </w:rPr>
              <w:t xml:space="preserve">mmCIF/PDB, fetched when a structure is opened</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Web fonts</w:t>
            </w:r>
          </w:p>
        </w:tc>
        <w:tc>
          <w:tcPr>
            <w:tcW w:type="dxa" w:w="2308"/>
            <w:tcMar>
              <w:top w:type="dxa" w:w="60"/>
              <w:left w:type="dxa" w:w="108"/>
              <w:bottom w:type="dxa" w:w="60"/>
              <w:right w:type="dxa" w:w="108"/>
            </w:tcMar>
          </w:tcPr>
          <w:p>
            <w:pPr>
              <w:spacing w:after="0" w:line="240"/>
            </w:pPr>
            <w:r>
              <w:rPr>
                <w:sz w:val="18"/>
                <w:szCs w:val="18"/>
              </w:rPr>
              <w:t xml:space="preserve">-</w:t>
            </w:r>
          </w:p>
        </w:tc>
        <w:tc>
          <w:tcPr>
            <w:tcW w:type="dxa" w:w="2308"/>
            <w:tcMar>
              <w:top w:type="dxa" w:w="60"/>
              <w:left w:type="dxa" w:w="108"/>
              <w:bottom w:type="dxa" w:w="60"/>
              <w:right w:type="dxa" w:w="108"/>
            </w:tcMar>
          </w:tcPr>
          <w:p>
            <w:pPr>
              <w:spacing w:after="0" w:line="240"/>
            </w:pPr>
            <w:r>
              <w:rPr>
                <w:sz w:val="18"/>
                <w:szCs w:val="18"/>
              </w:rPr>
              <w:t xml:space="preserve">fonts.googleapis.com</w:t>
            </w:r>
          </w:p>
        </w:tc>
        <w:tc>
          <w:tcPr>
            <w:tcW w:type="dxa" w:w="2310"/>
            <w:tcMar>
              <w:top w:type="dxa" w:w="60"/>
              <w:left w:type="dxa" w:w="108"/>
              <w:bottom w:type="dxa" w:w="60"/>
              <w:right w:type="dxa" w:w="108"/>
            </w:tcMar>
          </w:tcPr>
          <w:p>
            <w:pPr>
              <w:spacing w:after="0" w:line="240"/>
            </w:pPr>
            <w:r>
              <w:rPr>
                <w:sz w:val="18"/>
                <w:szCs w:val="18"/>
              </w:rPr>
              <w:t xml:space="preserve">Typography; the page degrades gracefully without them</w:t>
            </w:r>
          </w:p>
        </w:tc>
      </w:tr>
    </w:tbl>
    <w:p>
      <w:pPr>
        <w:spacing w:after="160"/>
      </w:pPr>
    </w:p>
    <w:p>
      <w:pPr>
        <w:spacing w:after="120" w:line="276"/>
      </w:pPr>
      <w:r>
        <w:t xml:space="preserve">If every one of these failed, the data, tables and text would still render. Only charts, maps, sign-in and the 3D viewer would be affected.</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8. Checking a change</w:t>
      </w:r>
    </w:p>
    <w:p>
      <w:pPr>
        <w:spacing w:after="120" w:line="276"/>
      </w:pPr>
      <w:r>
        <w:t xml:space="preserve">Build the page from a known export and open it. The checks worth running on anything that touches layout or rendering: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every view renders with no console errors, in light and dark, at desktop and phone widths</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no </w:t>
            </w:r>
            <w:r>
              <w:rPr>
                <w:rFonts w:ascii="Consolas" w:cs="Consolas" w:eastAsia="Consolas" w:hAnsi="Consolas"/>
                <w:color w:val="6E1F2B"/>
                <w:sz w:val="18"/>
                <w:szCs w:val="18"/>
              </w:rPr>
              <w:t xml:space="preserve">NaN</w:t>
            </w:r>
            <w:r>
              <w:t xml:space="preserve">, </w:t>
            </w:r>
            <w:r>
              <w:rPr>
                <w:rFonts w:ascii="Consolas" w:cs="Consolas" w:eastAsia="Consolas" w:hAnsi="Consolas"/>
                <w:color w:val="6E1F2B"/>
                <w:sz w:val="18"/>
                <w:szCs w:val="18"/>
              </w:rPr>
              <w:t xml:space="preserve">undefined</w:t>
            </w:r>
            <w:r>
              <w:t xml:space="preserve"> or </w:t>
            </w:r>
            <w:r>
              <w:rPr>
                <w:rFonts w:ascii="Consolas" w:cs="Consolas" w:eastAsia="Consolas" w:hAnsi="Consolas"/>
                <w:color w:val="6E1F2B"/>
                <w:sz w:val="18"/>
                <w:szCs w:val="18"/>
              </w:rPr>
              <w:t xml:space="preserve">[object Object]</w:t>
            </w:r>
            <w:r>
              <w:t xml:space="preserve"> appears in any rendered view</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no element overflows its container</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t xml:space="preserve">figures on the page still match the export they came from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Front End Reference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Front End Reference</dc:title>
  <dc:creator>Victoria Love Franklin</dc:creator>
  <dc:description>NWGS Grid - Front End Reference. Generated from the repository and from a weekly run's export.</dc:description>
  <cp:lastModifiedBy>Victoria Love Franklin</cp:lastModifiedBy>
  <cp:revision>1</cp:revision>
  <dcterms:created xsi:type="dcterms:W3CDTF">2026-10-14T13:26:45.285Z</dcterms:created>
  <dcterms:modified xsi:type="dcterms:W3CDTF">2026-10-14T13:26:45.285Z</dcterms:modified>
</cp:coreProperties>
</file>

<file path=docProps/custom.xml><?xml version="1.0" encoding="utf-8"?>
<Properties xmlns="http://schemas.openxmlformats.org/officeDocument/2006/custom-properties" xmlns:vt="http://schemas.openxmlformats.org/officeDocument/2006/docPropsVTypes"/>
</file>