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b/>
          <w:bCs/>
          <w:color w:val="14213A"/>
          <w:sz w:val="44"/>
          <w:szCs w:val="44"/>
        </w:rPr>
        <w:t xml:space="preserve">NWGS Grid - references and citations</w:t>
      </w:r>
    </w:p>
    <w:p>
      <w:pPr>
        <w:spacing w:after="120" w:line="276"/>
      </w:pPr>
      <w:r>
        <w:t xml:space="preserve">Every source the project uses, in one place: the literature it argues against or builds on, the datasets it reads, and the software it runs on.</w:t>
      </w:r>
    </w:p>
    <w:p>
      <w:pPr>
        <w:spacing w:after="120" w:line="276"/>
      </w:pPr>
      <w:r>
        <w:rPr>
          <w:b/>
          <w:bCs/>
        </w:rPr>
        <w:t xml:space="preserve">Access column:</w:t>
      </w:r>
      <w:r>
        <w:t xml:space="preserve"> </w:t>
      </w:r>
      <w:r>
        <w:rPr>
          <w:i/>
          <w:iCs/>
        </w:rPr>
        <w:t xml:space="preserve">Free</w:t>
      </w:r>
      <w:r>
        <w:t xml:space="preserve"> means the publisher serves the full text at no charge, so the link below reaches a PDF in one or two clicks. </w:t>
      </w:r>
      <w:r>
        <w:rPr>
          <w:i/>
          <w:iCs/>
        </w:rPr>
        <w:t xml:space="preserve">Public domain</w:t>
      </w:r>
      <w:r>
        <w:t xml:space="preserve"> means the work carries no copyright and may be reproduced with citation.</w:t>
      </w:r>
    </w:p>
    <w:p>
      <w:pPr>
        <w:spacing w:after="120" w:line="276"/>
      </w:pPr>
      <w:r>
        <w:t xml:space="preserve">PDFs are not committed to this repository. Publisher terms vary, and a stored copy goes stale against the version of record. Use the links; put any PDFs you download in </w:t>
      </w:r>
      <w:r>
        <w:rPr>
          <w:rFonts w:ascii="Consolas" w:cs="Consolas" w:eastAsia="Consolas" w:hAnsi="Consolas"/>
          <w:color w:val="6E1F2B"/>
          <w:sz w:val="18"/>
          <w:szCs w:val="18"/>
        </w:rPr>
        <w:t xml:space="preserve">references/pdfs/</w:t>
      </w:r>
      <w:r>
        <w:t xml:space="preserve">, which </w:t>
      </w:r>
      <w:r>
        <w:rPr>
          <w:rFonts w:ascii="Consolas" w:cs="Consolas" w:eastAsia="Consolas" w:hAnsi="Consolas"/>
          <w:color w:val="6E1F2B"/>
          <w:sz w:val="18"/>
          <w:szCs w:val="18"/>
        </w:rPr>
        <w:t xml:space="preserve">.gitignore</w:t>
      </w:r>
      <w:r>
        <w:t xml:space="preserve"> keeps out of version control.</w:t>
      </w:r>
    </w:p>
    <w:p>
      <w:pPr>
        <w:pBdr>
          <w:bottom w:val="single" w:color="D8D8D8" w:sz="6"/>
        </w:pBdr>
        <w:spacing w:after="160" w:before="80"/>
      </w:pPr>
    </w:p>
    <w:p>
      <w:pPr>
        <w:pStyle w:val="Heading1"/>
        <w:pBdr>
          <w:bottom w:val="single" w:color="C49A4A" w:sz="8" w:space="6"/>
        </w:pBdr>
        <w:spacing w:after="120" w:before="320"/>
      </w:pPr>
      <w:r>
        <w:rPr>
          <w:b/>
          <w:bCs/>
          <w:color w:val="14213A"/>
          <w:sz w:val="30"/>
          <w:szCs w:val="30"/>
        </w:rPr>
        <w:t xml:space="preserve">1. Literature</w:t>
      </w:r>
    </w:p>
    <w:p>
      <w:pPr>
        <w:pStyle w:val="Heading2"/>
        <w:spacing w:after="120" w:before="240"/>
      </w:pPr>
      <w:r>
        <w:rPr>
          <w:b/>
          <w:bCs/>
          <w:color w:val="6E1F2B"/>
          <w:sz w:val="24"/>
          <w:szCs w:val="24"/>
        </w:rPr>
        <w:t xml:space="preserve">Wastewater surveillance systems and coverage</w:t>
      </w:r>
    </w:p>
    <w:p>
      <w:pPr>
        <w:spacing w:after="120" w:line="276"/>
      </w:pPr>
      <w:r>
        <w:rPr>
          <w:b/>
          <w:bCs/>
        </w:rPr>
        <w:t xml:space="preserve">Mark-Carew M, Bias M, Reckling S, Madhobi K, Cornforth D, Volkov I, Rainey AL, Lorentz B, Taibl KR, Oakley LP, West R, Welsh R, Mercante JW, Womack N, Fehrenbach N, Yoder J.</w:t>
      </w:r>
      <w:r>
        <w:t xml:space="preserve"> Progress and Expansion of the National Wastewater Surveillance System, United States, 2020–2024. </w:t>
      </w:r>
      <w:r>
        <w:rPr>
          <w:i/>
          <w:iCs/>
        </w:rPr>
        <w:t xml:space="preserve">Emerging Infectious Diseases</w:t>
      </w:r>
      <w:r>
        <w:t xml:space="preserve">. 2026;32(Suppl). → https://wwwnc.cdc.gov/eid/article/32/13/26-1118_article </w:t>
      </w:r>
      <w:r>
        <w:rPr>
          <w:b/>
          <w:bCs/>
        </w:rPr>
        <w:t xml:space="preserve">Access: Public domain</w:t>
      </w:r>
      <w:r>
        <w:t xml:space="preserve"> (CDC journal; reproducible with citation)</w:t>
      </w:r>
    </w:p>
    <w:p>
      <w:pPr>
        <w:spacing w:after="120" w:line="276"/>
      </w:pPr>
      <w:r>
        <w:t xml:space="preserve">CDC's own account of NWSS. Used three ways: its reporting-timeliness figures support the reporting-lag term in the lead-time decomposition; its metropolitan coverage split is the published figure the urbanicity page checks itself against; and its statement that sewershed boundaries were collected but not released is cited where that limitation is reported.</w:t>
      </w:r>
    </w:p>
    <w:p>
      <w:pPr>
        <w:spacing w:after="120" w:line="276"/>
      </w:pPr>
      <w:r>
        <w:rPr>
          <w:b/>
          <w:bCs/>
        </w:rPr>
        <w:t xml:space="preserve">Alkhouri NB, Fisher V, Abuelezam NN.</w:t>
      </w:r>
      <w:r>
        <w:t xml:space="preserve"> Equity in Wastewater Surveillance: Assessment of the National Wastewater Surveillance System for COVID-19. </w:t>
      </w:r>
      <w:r>
        <w:rPr>
          <w:i/>
          <w:iCs/>
        </w:rPr>
        <w:t xml:space="preserve">AJPM Focus</w:t>
      </w:r>
      <w:r>
        <w:t xml:space="preserve">. 2025;5(1):100434. → https://doi.org/10.1016/j.focus.2025.100434 </w:t>
      </w:r>
      <w:r>
        <w:rPr>
          <w:b/>
          <w:bCs/>
        </w:rPr>
        <w:t xml:space="preserve">Access: Free</w:t>
      </w:r>
      <w:r>
        <w:t xml:space="preserve"> (open access)</w:t>
      </w:r>
    </w:p>
    <w:p>
      <w:pPr>
        <w:spacing w:after="120" w:line="276"/>
      </w:pPr>
      <w:r>
        <w:t xml:space="preserve">The closest published analysis to the coverage-equity model. Cited on that page so the model is presented against existing work rather than as a novel finding.</w:t>
      </w:r>
    </w:p>
    <w:p>
      <w:pPr>
        <w:spacing w:after="120" w:line="276"/>
      </w:pPr>
      <w:r>
        <w:rPr>
          <w:b/>
          <w:bCs/>
        </w:rPr>
        <w:t xml:space="preserve">Schenk H, Rauch W, Zulli A, Boehm AB.</w:t>
      </w:r>
      <w:r>
        <w:t xml:space="preserve"> SARS-CoV-2 surveillance in US wastewater: leading indicators and data variability analysis in 2023–2024. </w:t>
      </w:r>
      <w:r>
        <w:rPr>
          <w:i/>
          <w:iCs/>
        </w:rPr>
        <w:t xml:space="preserve">PLOS ONE</w:t>
      </w:r>
      <w:r>
        <w:t xml:space="preserve">. 2024;19(11):e0313927. → https://doi.org/10.1371/journal.pone.0313927 </w:t>
      </w:r>
      <w:r>
        <w:rPr>
          <w:b/>
          <w:bCs/>
        </w:rPr>
        <w:t xml:space="preserve">Access: Free</w:t>
      </w:r>
      <w:r>
        <w:t xml:space="preserve"> (open access)</w:t>
      </w:r>
    </w:p>
    <w:p>
      <w:pPr>
        <w:spacing w:after="120" w:line="276"/>
      </w:pPr>
      <w:r>
        <w:t xml:space="preserve">Lead-time and variability context for the shedding-lead term.</w:t>
      </w:r>
    </w:p>
    <w:p>
      <w:pPr>
        <w:pStyle w:val="Heading2"/>
        <w:spacing w:after="120" w:before="240"/>
      </w:pPr>
      <w:r>
        <w:rPr>
          <w:b/>
          <w:bCs/>
          <w:color w:val="6E1F2B"/>
          <w:sz w:val="24"/>
          <w:szCs w:val="24"/>
        </w:rPr>
        <w:t xml:space="preserve">Assay sensitivity</w:t>
      </w:r>
    </w:p>
    <w:p>
      <w:pPr>
        <w:spacing w:after="120" w:line="276"/>
      </w:pPr>
      <w:r>
        <w:rPr>
          <w:b/>
          <w:bCs/>
        </w:rPr>
        <w:t xml:space="preserve">Beck AS, Lopareva EN, Hwang H, Hart D, de Almeida M, Anderson R, Rota PA, Bankamp B.</w:t>
      </w:r>
      <w:r>
        <w:t xml:space="preserve"> Evaluation of the sensitivity of a measles diagnostic real-time RT-PCR assay incorporating recently observed priming mismatch variants, 2024. </w:t>
      </w:r>
      <w:r>
        <w:rPr>
          <w:i/>
          <w:iCs/>
        </w:rPr>
        <w:t xml:space="preserve">Eurosurveillance</w:t>
      </w:r>
      <w:r>
        <w:t xml:space="preserve">. 2024;29(28):2400410. → https://doi.org/10.2807/1560-7917.ES.2024.29.28.2400410 </w:t>
      </w:r>
      <w:r>
        <w:rPr>
          <w:b/>
          <w:bCs/>
        </w:rPr>
        <w:t xml:space="preserve">Access: Free</w:t>
      </w:r>
      <w:r>
        <w:t xml:space="preserve"> (open access)</w:t>
      </w:r>
    </w:p>
    <w:p>
      <w:pPr>
        <w:spacing w:after="120" w:line="276"/>
      </w:pPr>
      <w:r>
        <w:t xml:space="preserve">The documented case of circulating variants degrading a widely used RT-PCR target. Cited in the assay-target panel as the reason that layer exists.</w:t>
      </w:r>
    </w:p>
    <w:p>
      <w:pPr>
        <w:pStyle w:val="Heading2"/>
        <w:spacing w:after="120" w:before="240"/>
      </w:pPr>
      <w:r>
        <w:rPr>
          <w:b/>
          <w:bCs/>
          <w:color w:val="6E1F2B"/>
          <w:sz w:val="24"/>
          <w:szCs w:val="24"/>
        </w:rPr>
        <w:t xml:space="preserve">Antimicrobial resistance in wastewater</w:t>
      </w:r>
    </w:p>
    <w:p>
      <w:pPr>
        <w:spacing w:after="120" w:line="276"/>
      </w:pPr>
      <w:r>
        <w:rPr>
          <w:b/>
          <w:bCs/>
        </w:rPr>
        <w:t xml:space="preserve">Kim S, Zulli A, Chan EMG, Duong D, Linfield RY, McCormack C, White BJ, Wolfe MK, Boehm AB, Pickering AJ.</w:t>
      </w:r>
      <w:r>
        <w:t xml:space="preserve"> Wastewater surveillance reveals patterns of antibiotic resistance across the United States. </w:t>
      </w:r>
      <w:r>
        <w:rPr>
          <w:i/>
          <w:iCs/>
        </w:rPr>
        <w:t xml:space="preserve">Nature Communications</w:t>
      </w:r>
      <w:r>
        <w:t xml:space="preserve">. 2026;17:4680. → https://doi.org/10.1038/s41467-026-71195-4 </w:t>
      </w:r>
      <w:r>
        <w:rPr>
          <w:b/>
          <w:bCs/>
        </w:rPr>
        <w:t xml:space="preserve">Access: Free</w:t>
      </w:r>
      <w:r>
        <w:t xml:space="preserve"> (open access, CC BY 4.0)</w:t>
      </w:r>
    </w:p>
    <w:p>
      <w:pPr>
        <w:spacing w:after="120" w:line="276"/>
      </w:pPr>
      <w:r>
        <w:t xml:space="preserve">Source of every figure on the resistance-gene panels. 163 treatment plants in 39 states, eleven resistance genes measured by digital droplet PCR and normalised to 16S rRNA. The project stores the study's </w:t>
      </w:r>
      <w:r>
        <w:rPr>
          <w:rFonts w:ascii="Consolas" w:cs="Consolas" w:eastAsia="Consolas" w:hAnsi="Consolas"/>
          <w:color w:val="6E1F2B"/>
          <w:sz w:val="18"/>
          <w:szCs w:val="18"/>
        </w:rPr>
        <w:t xml:space="preserve">Averaged</w:t>
      </w:r>
      <w:r>
        <w:t xml:space="preserve"> sheet unchanged; the detection calls, z-scores and outlier flags are the authors', not derived here.</w:t>
      </w:r>
    </w:p>
    <w:p>
      <w:pPr>
        <w:spacing w:after="120" w:line="276"/>
      </w:pPr>
      <w:r>
        <w:t xml:space="preserve">The CC BY 4.0 licence permits this reuse provided the work is credited, the licence is linked, and any changes are stated. The stored copy is unmodified apart from being re-exported at full numeric precision, which is recorded in </w:t>
      </w:r>
      <w:r>
        <w:rPr>
          <w:rFonts w:ascii="Consolas" w:cs="Consolas" w:eastAsia="Consolas" w:hAnsi="Consolas"/>
          <w:color w:val="6E1F2B"/>
          <w:sz w:val="18"/>
          <w:szCs w:val="18"/>
        </w:rPr>
        <w:t xml:space="preserve">static_inputs/README.md</w:t>
      </w:r>
      <w:r>
        <w:t xml:space="preserve">.</w:t>
      </w:r>
    </w:p>
    <w:p>
      <w:pPr>
        <w:spacing w:after="120" w:line="276"/>
      </w:pPr>
      <w:r>
        <w:t xml:space="preserve">Underlying data: https://doi.org/10.5281/ZENODO.18749049 (Zenodo), also at https://purl.stanford.edu/vb318cm9509</w:t>
      </w:r>
    </w:p>
    <w:p>
      <w:pPr>
        <w:pStyle w:val="Heading2"/>
        <w:spacing w:after="120" w:before="240"/>
      </w:pPr>
      <w:r>
        <w:rPr>
          <w:b/>
          <w:bCs/>
          <w:color w:val="6E1F2B"/>
          <w:sz w:val="24"/>
          <w:szCs w:val="24"/>
        </w:rPr>
        <w:t xml:space="preserve">Structural and sequence resources</w:t>
      </w:r>
    </w:p>
    <w:p>
      <w:pPr>
        <w:spacing w:after="120" w:line="276"/>
      </w:pPr>
      <w:r>
        <w:rPr>
          <w:b/>
          <w:bCs/>
        </w:rPr>
        <w:t xml:space="preserve">Berman HM, Westbrook J, Feng Z, Gilliland G, Bhat TN, Weissig H, Shindyalov IN, Bourne PE.</w:t>
      </w:r>
      <w:r>
        <w:t xml:space="preserve"> The Protein Data Bank. </w:t>
      </w:r>
      <w:r>
        <w:rPr>
          <w:i/>
          <w:iCs/>
        </w:rPr>
        <w:t xml:space="preserve">Nucleic Acids Research</w:t>
      </w:r>
      <w:r>
        <w:t xml:space="preserve">. 2000;28(1):235–242. → https://doi.org/10.1093/nar/28.1.235 </w:t>
      </w:r>
      <w:r>
        <w:rPr>
          <w:b/>
          <w:bCs/>
        </w:rPr>
        <w:t xml:space="preserve">Access: Free</w:t>
      </w:r>
      <w:r>
        <w:t xml:space="preserve"> (open access)</w:t>
      </w:r>
    </w:p>
    <w:p>
      <w:pPr>
        <w:spacing w:after="120" w:line="276"/>
      </w:pPr>
      <w:r>
        <w:rPr>
          <w:b/>
          <w:bCs/>
        </w:rPr>
        <w:t xml:space="preserve">The UniProt Consortium.</w:t>
      </w:r>
      <w:r>
        <w:t xml:space="preserve"> UniProt: the Universal Protein Knowledgebase. </w:t>
      </w:r>
      <w:r>
        <w:rPr>
          <w:i/>
          <w:iCs/>
        </w:rPr>
        <w:t xml:space="preserve">Nucleic Acids Research</w:t>
      </w:r>
      <w:r>
        <w:t xml:space="preserve">. 2025. → https://www.uniprot.org </w:t>
      </w:r>
      <w:r>
        <w:rPr>
          <w:b/>
          <w:bCs/>
        </w:rPr>
        <w:t xml:space="preserve">Access: Free</w:t>
      </w:r>
      <w:r>
        <w:t xml:space="preserve"> (open access)</w:t>
      </w:r>
    </w:p>
    <w:p>
      <w:pPr>
        <w:spacing w:after="120" w:line="276"/>
      </w:pPr>
      <w:r>
        <w:t xml:space="preserve">Source of the curated functional regions shown on the structures page. Each row on that page carries its own accession, so individual annotations cite back to the specific entry rather than to this reference alone.</w:t>
      </w:r>
    </w:p>
    <w:p>
      <w:pPr>
        <w:pBdr>
          <w:bottom w:val="single" w:color="D8D8D8" w:sz="6"/>
        </w:pBdr>
        <w:spacing w:after="160" w:before="80"/>
      </w:pPr>
    </w:p>
    <w:p>
      <w:pPr>
        <w:pStyle w:val="Heading1"/>
        <w:pBdr>
          <w:bottom w:val="single" w:color="C49A4A" w:sz="8" w:space="6"/>
        </w:pBdr>
        <w:spacing w:after="120" w:before="320"/>
      </w:pPr>
      <w:r>
        <w:rPr>
          <w:b/>
          <w:bCs/>
          <w:color w:val="14213A"/>
          <w:sz w:val="30"/>
          <w:szCs w:val="30"/>
        </w:rPr>
        <w:t xml:space="preserve">2. Datasets</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434"/>
        <w:gridCol w:w="1731"/>
        <w:gridCol w:w="1731"/>
        <w:gridCol w:w="1731"/>
        <w:gridCol w:w="1733"/>
      </w:tblGrid>
      <w:tr>
        <w:trPr>
          <w:tblHeader/>
        </w:trPr>
        <w:tc>
          <w:tcPr>
            <w:tcW w:type="dxa" w:w="2434"/>
            <w:shd w:fill="14213A" w:val="clear"/>
            <w:tcMar>
              <w:top w:type="dxa" w:w="60"/>
              <w:left w:type="dxa" w:w="108"/>
              <w:bottom w:type="dxa" w:w="60"/>
              <w:right w:type="dxa" w:w="108"/>
            </w:tcMar>
          </w:tcPr>
          <w:p>
            <w:pPr>
              <w:spacing w:after="0" w:line="240"/>
            </w:pPr>
            <w:r>
              <w:rPr>
                <w:b/>
                <w:bCs/>
                <w:color w:val="FFFFFF"/>
                <w:sz w:val="18"/>
                <w:szCs w:val="18"/>
              </w:rPr>
              <w:t xml:space="preserve">Dataset</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Publisher</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Used for</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Link</w:t>
            </w:r>
          </w:p>
        </w:tc>
        <w:tc>
          <w:tcPr>
            <w:tcW w:type="dxa" w:w="1733"/>
            <w:shd w:fill="14213A" w:val="clear"/>
            <w:tcMar>
              <w:top w:type="dxa" w:w="60"/>
              <w:left w:type="dxa" w:w="108"/>
              <w:bottom w:type="dxa" w:w="60"/>
              <w:right w:type="dxa" w:w="108"/>
            </w:tcMar>
          </w:tcPr>
          <w:p>
            <w:pPr>
              <w:spacing w:after="0" w:line="240"/>
            </w:pPr>
            <w:r>
              <w:rPr>
                <w:b/>
                <w:bCs/>
                <w:color w:val="FFFFFF"/>
                <w:sz w:val="18"/>
                <w:szCs w:val="18"/>
              </w:rPr>
              <w:t xml:space="preserve">Terms</w:t>
            </w:r>
          </w:p>
        </w:tc>
      </w:tr>
      <w:tr>
        <w:trPr>
          <w:tblHeader w:val="off"/>
        </w:trPr>
        <w:tc>
          <w:tcPr>
            <w:tcW w:type="dxa" w:w="2434"/>
            <w:tcMar>
              <w:top w:type="dxa" w:w="60"/>
              <w:left w:type="dxa" w:w="108"/>
              <w:bottom w:type="dxa" w:w="60"/>
              <w:right w:type="dxa" w:w="108"/>
            </w:tcMar>
          </w:tcPr>
          <w:p>
            <w:pPr>
              <w:spacing w:after="0" w:line="240"/>
            </w:pPr>
            <w:r>
              <w:rPr>
                <w:sz w:val="18"/>
                <w:szCs w:val="18"/>
              </w:rPr>
              <w:t xml:space="preserve">NWSS wastewater data, six pathogens</w:t>
            </w:r>
          </w:p>
        </w:tc>
        <w:tc>
          <w:tcPr>
            <w:tcW w:type="dxa" w:w="1731"/>
            <w:tcMar>
              <w:top w:type="dxa" w:w="60"/>
              <w:left w:type="dxa" w:w="108"/>
              <w:bottom w:type="dxa" w:w="60"/>
              <w:right w:type="dxa" w:w="108"/>
            </w:tcMar>
          </w:tcPr>
          <w:p>
            <w:pPr>
              <w:spacing w:after="0" w:line="240"/>
            </w:pPr>
            <w:r>
              <w:rPr>
                <w:sz w:val="18"/>
                <w:szCs w:val="18"/>
              </w:rPr>
              <w:t xml:space="preserve">CDC</w:t>
            </w:r>
          </w:p>
        </w:tc>
        <w:tc>
          <w:tcPr>
            <w:tcW w:type="dxa" w:w="1731"/>
            <w:tcMar>
              <w:top w:type="dxa" w:w="60"/>
              <w:left w:type="dxa" w:w="108"/>
              <w:bottom w:type="dxa" w:w="60"/>
              <w:right w:type="dxa" w:w="108"/>
            </w:tcMar>
          </w:tcPr>
          <w:p>
            <w:pPr>
              <w:spacing w:after="0" w:line="240"/>
            </w:pPr>
            <w:r>
              <w:rPr>
                <w:sz w:val="18"/>
                <w:szCs w:val="18"/>
              </w:rPr>
              <w:t xml:space="preserve">Every activity figure on the site</w:t>
            </w:r>
          </w:p>
        </w:tc>
        <w:tc>
          <w:tcPr>
            <w:tcW w:type="dxa" w:w="1731"/>
            <w:tcMar>
              <w:top w:type="dxa" w:w="60"/>
              <w:left w:type="dxa" w:w="108"/>
              <w:bottom w:type="dxa" w:w="60"/>
              <w:right w:type="dxa" w:w="108"/>
            </w:tcMar>
          </w:tcPr>
          <w:p>
            <w:pPr>
              <w:spacing w:after="0" w:line="240"/>
            </w:pPr>
            <w:r>
              <w:rPr>
                <w:sz w:val="18"/>
                <w:szCs w:val="18"/>
              </w:rPr>
              <w:t xml:space="preserve">https://data.cdc.gov</w:t>
            </w:r>
          </w:p>
        </w:tc>
        <w:tc>
          <w:tcPr>
            <w:tcW w:type="dxa" w:w="1733"/>
            <w:tcMar>
              <w:top w:type="dxa" w:w="60"/>
              <w:left w:type="dxa" w:w="108"/>
              <w:bottom w:type="dxa" w:w="60"/>
              <w:right w:type="dxa" w:w="108"/>
            </w:tcMar>
          </w:tcPr>
          <w:p>
            <w:pPr>
              <w:spacing w:after="0" w:line="240"/>
            </w:pPr>
            <w:r>
              <w:rPr>
                <w:sz w:val="18"/>
                <w:szCs w:val="18"/>
              </w:rPr>
              <w:t xml:space="preserve">Public domain</w:t>
            </w:r>
          </w:p>
        </w:tc>
      </w:tr>
      <w:tr>
        <w:trPr>
          <w:tblHeader w:val="off"/>
        </w:trPr>
        <w:tc>
          <w:tcPr>
            <w:tcW w:type="dxa" w:w="2434"/>
            <w:tcMar>
              <w:top w:type="dxa" w:w="60"/>
              <w:left w:type="dxa" w:w="108"/>
              <w:bottom w:type="dxa" w:w="60"/>
              <w:right w:type="dxa" w:w="108"/>
            </w:tcMar>
          </w:tcPr>
          <w:p>
            <w:pPr>
              <w:spacing w:after="0" w:line="240"/>
            </w:pPr>
            <w:r>
              <w:rPr>
                <w:sz w:val="18"/>
                <w:szCs w:val="18"/>
              </w:rPr>
              <w:t xml:space="preserve">NSSP emergency department visits</w:t>
            </w:r>
          </w:p>
        </w:tc>
        <w:tc>
          <w:tcPr>
            <w:tcW w:type="dxa" w:w="1731"/>
            <w:tcMar>
              <w:top w:type="dxa" w:w="60"/>
              <w:left w:type="dxa" w:w="108"/>
              <w:bottom w:type="dxa" w:w="60"/>
              <w:right w:type="dxa" w:w="108"/>
            </w:tcMar>
          </w:tcPr>
          <w:p>
            <w:pPr>
              <w:spacing w:after="0" w:line="240"/>
            </w:pPr>
            <w:r>
              <w:rPr>
                <w:sz w:val="18"/>
                <w:szCs w:val="18"/>
              </w:rPr>
              <w:t xml:space="preserve">CDC</w:t>
            </w:r>
          </w:p>
        </w:tc>
        <w:tc>
          <w:tcPr>
            <w:tcW w:type="dxa" w:w="1731"/>
            <w:tcMar>
              <w:top w:type="dxa" w:w="60"/>
              <w:left w:type="dxa" w:w="108"/>
              <w:bottom w:type="dxa" w:w="60"/>
              <w:right w:type="dxa" w:w="108"/>
            </w:tcMar>
          </w:tcPr>
          <w:p>
            <w:pPr>
              <w:spacing w:after="0" w:line="240"/>
            </w:pPr>
            <w:r>
              <w:rPr>
                <w:sz w:val="18"/>
                <w:szCs w:val="18"/>
              </w:rPr>
              <w:t xml:space="preserve">The clinical series the lead-time analysis compares against</w:t>
            </w:r>
          </w:p>
        </w:tc>
        <w:tc>
          <w:tcPr>
            <w:tcW w:type="dxa" w:w="1731"/>
            <w:tcMar>
              <w:top w:type="dxa" w:w="60"/>
              <w:left w:type="dxa" w:w="108"/>
              <w:bottom w:type="dxa" w:w="60"/>
              <w:right w:type="dxa" w:w="108"/>
            </w:tcMar>
          </w:tcPr>
          <w:p>
            <w:pPr>
              <w:spacing w:after="0" w:line="240"/>
            </w:pPr>
            <w:r>
              <w:rPr>
                <w:sz w:val="18"/>
                <w:szCs w:val="18"/>
              </w:rPr>
              <w:t xml:space="preserve">https://data.cdc.gov</w:t>
            </w:r>
          </w:p>
        </w:tc>
        <w:tc>
          <w:tcPr>
            <w:tcW w:type="dxa" w:w="1733"/>
            <w:tcMar>
              <w:top w:type="dxa" w:w="60"/>
              <w:left w:type="dxa" w:w="108"/>
              <w:bottom w:type="dxa" w:w="60"/>
              <w:right w:type="dxa" w:w="108"/>
            </w:tcMar>
          </w:tcPr>
          <w:p>
            <w:pPr>
              <w:spacing w:after="0" w:line="240"/>
            </w:pPr>
            <w:r>
              <w:rPr>
                <w:sz w:val="18"/>
                <w:szCs w:val="18"/>
              </w:rPr>
              <w:t xml:space="preserve">Public domain</w:t>
            </w:r>
          </w:p>
        </w:tc>
      </w:tr>
      <w:tr>
        <w:trPr>
          <w:tblHeader w:val="off"/>
        </w:trPr>
        <w:tc>
          <w:tcPr>
            <w:tcW w:type="dxa" w:w="2434"/>
            <w:tcMar>
              <w:top w:type="dxa" w:w="60"/>
              <w:left w:type="dxa" w:w="108"/>
              <w:bottom w:type="dxa" w:w="60"/>
              <w:right w:type="dxa" w:w="108"/>
            </w:tcMar>
          </w:tcPr>
          <w:p>
            <w:pPr>
              <w:spacing w:after="0" w:line="240"/>
            </w:pPr>
            <w:r>
              <w:rPr>
                <w:sz w:val="18"/>
                <w:szCs w:val="18"/>
              </w:rPr>
              <w:t xml:space="preserve">PLACES county health measures</w:t>
            </w:r>
          </w:p>
        </w:tc>
        <w:tc>
          <w:tcPr>
            <w:tcW w:type="dxa" w:w="1731"/>
            <w:tcMar>
              <w:top w:type="dxa" w:w="60"/>
              <w:left w:type="dxa" w:w="108"/>
              <w:bottom w:type="dxa" w:w="60"/>
              <w:right w:type="dxa" w:w="108"/>
            </w:tcMar>
          </w:tcPr>
          <w:p>
            <w:pPr>
              <w:spacing w:after="0" w:line="240"/>
            </w:pPr>
            <w:r>
              <w:rPr>
                <w:sz w:val="18"/>
                <w:szCs w:val="18"/>
              </w:rPr>
              <w:t xml:space="preserve">CDC</w:t>
            </w:r>
          </w:p>
        </w:tc>
        <w:tc>
          <w:tcPr>
            <w:tcW w:type="dxa" w:w="1731"/>
            <w:tcMar>
              <w:top w:type="dxa" w:w="60"/>
              <w:left w:type="dxa" w:w="108"/>
              <w:bottom w:type="dxa" w:w="60"/>
              <w:right w:type="dxa" w:w="108"/>
            </w:tcMar>
          </w:tcPr>
          <w:p>
            <w:pPr>
              <w:spacing w:after="0" w:line="240"/>
            </w:pPr>
            <w:r>
              <w:rPr>
                <w:sz w:val="18"/>
                <w:szCs w:val="18"/>
              </w:rPr>
              <w:t xml:space="preserve">County health context</w:t>
            </w:r>
          </w:p>
        </w:tc>
        <w:tc>
          <w:tcPr>
            <w:tcW w:type="dxa" w:w="1731"/>
            <w:tcMar>
              <w:top w:type="dxa" w:w="60"/>
              <w:left w:type="dxa" w:w="108"/>
              <w:bottom w:type="dxa" w:w="60"/>
              <w:right w:type="dxa" w:w="108"/>
            </w:tcMar>
          </w:tcPr>
          <w:p>
            <w:pPr>
              <w:spacing w:after="0" w:line="240"/>
            </w:pPr>
            <w:r>
              <w:rPr>
                <w:sz w:val="18"/>
                <w:szCs w:val="18"/>
              </w:rPr>
              <w:t xml:space="preserve">https://data.cdc.gov</w:t>
            </w:r>
          </w:p>
        </w:tc>
        <w:tc>
          <w:tcPr>
            <w:tcW w:type="dxa" w:w="1733"/>
            <w:tcMar>
              <w:top w:type="dxa" w:w="60"/>
              <w:left w:type="dxa" w:w="108"/>
              <w:bottom w:type="dxa" w:w="60"/>
              <w:right w:type="dxa" w:w="108"/>
            </w:tcMar>
          </w:tcPr>
          <w:p>
            <w:pPr>
              <w:spacing w:after="0" w:line="240"/>
            </w:pPr>
            <w:r>
              <w:rPr>
                <w:sz w:val="18"/>
                <w:szCs w:val="18"/>
              </w:rPr>
              <w:t xml:space="preserve">Public domain</w:t>
            </w:r>
          </w:p>
        </w:tc>
      </w:tr>
      <w:tr>
        <w:trPr>
          <w:tblHeader w:val="off"/>
        </w:trPr>
        <w:tc>
          <w:tcPr>
            <w:tcW w:type="dxa" w:w="2434"/>
            <w:tcMar>
              <w:top w:type="dxa" w:w="60"/>
              <w:left w:type="dxa" w:w="108"/>
              <w:bottom w:type="dxa" w:w="60"/>
              <w:right w:type="dxa" w:w="108"/>
            </w:tcMar>
          </w:tcPr>
          <w:p>
            <w:pPr>
              <w:spacing w:after="0" w:line="240"/>
            </w:pPr>
            <w:r>
              <w:rPr>
                <w:sz w:val="18"/>
                <w:szCs w:val="18"/>
              </w:rPr>
              <w:t xml:space="preserve">Social Vulnerability Index 2022, county and census tract</w:t>
            </w:r>
          </w:p>
        </w:tc>
        <w:tc>
          <w:tcPr>
            <w:tcW w:type="dxa" w:w="1731"/>
            <w:tcMar>
              <w:top w:type="dxa" w:w="60"/>
              <w:left w:type="dxa" w:w="108"/>
              <w:bottom w:type="dxa" w:w="60"/>
              <w:right w:type="dxa" w:w="108"/>
            </w:tcMar>
          </w:tcPr>
          <w:p>
            <w:pPr>
              <w:spacing w:after="0" w:line="240"/>
            </w:pPr>
            <w:r>
              <w:rPr>
                <w:sz w:val="18"/>
                <w:szCs w:val="18"/>
              </w:rPr>
              <w:t xml:space="preserve">CDC/ATSDR</w:t>
            </w:r>
          </w:p>
        </w:tc>
        <w:tc>
          <w:tcPr>
            <w:tcW w:type="dxa" w:w="1731"/>
            <w:tcMar>
              <w:top w:type="dxa" w:w="60"/>
              <w:left w:type="dxa" w:w="108"/>
              <w:bottom w:type="dxa" w:w="60"/>
              <w:right w:type="dxa" w:w="108"/>
            </w:tcMar>
          </w:tcPr>
          <w:p>
            <w:pPr>
              <w:spacing w:after="0" w:line="240"/>
            </w:pPr>
            <w:r>
              <w:rPr>
                <w:sz w:val="18"/>
                <w:szCs w:val="18"/>
              </w:rPr>
              <w:t xml:space="preserve">Coverage equity; vulnerability inside monitored sewersheds</w:t>
            </w:r>
          </w:p>
        </w:tc>
        <w:tc>
          <w:tcPr>
            <w:tcW w:type="dxa" w:w="1731"/>
            <w:tcMar>
              <w:top w:type="dxa" w:w="60"/>
              <w:left w:type="dxa" w:w="108"/>
              <w:bottom w:type="dxa" w:w="60"/>
              <w:right w:type="dxa" w:w="108"/>
            </w:tcMar>
          </w:tcPr>
          <w:p>
            <w:pPr>
              <w:spacing w:after="0" w:line="240"/>
            </w:pPr>
            <w:r>
              <w:rPr>
                <w:sz w:val="18"/>
                <w:szCs w:val="18"/>
              </w:rPr>
              <w:t xml:space="preserve">https://www.atsdr.cdc.gov/placeandhealth/svi/data_documentation_download.html</w:t>
            </w:r>
          </w:p>
        </w:tc>
        <w:tc>
          <w:tcPr>
            <w:tcW w:type="dxa" w:w="1733"/>
            <w:tcMar>
              <w:top w:type="dxa" w:w="60"/>
              <w:left w:type="dxa" w:w="108"/>
              <w:bottom w:type="dxa" w:w="60"/>
              <w:right w:type="dxa" w:w="108"/>
            </w:tcMar>
          </w:tcPr>
          <w:p>
            <w:pPr>
              <w:spacing w:after="0" w:line="240"/>
            </w:pPr>
            <w:r>
              <w:rPr>
                <w:sz w:val="18"/>
                <w:szCs w:val="18"/>
              </w:rPr>
              <w:t xml:space="preserve">Public domain</w:t>
            </w:r>
          </w:p>
        </w:tc>
      </w:tr>
      <w:tr>
        <w:trPr>
          <w:tblHeader w:val="off"/>
        </w:trPr>
        <w:tc>
          <w:tcPr>
            <w:tcW w:type="dxa" w:w="2434"/>
            <w:tcMar>
              <w:top w:type="dxa" w:w="60"/>
              <w:left w:type="dxa" w:w="108"/>
              <w:bottom w:type="dxa" w:w="60"/>
              <w:right w:type="dxa" w:w="108"/>
            </w:tcMar>
          </w:tcPr>
          <w:p>
            <w:pPr>
              <w:spacing w:after="0" w:line="240"/>
            </w:pPr>
            <w:r>
              <w:rPr>
                <w:sz w:val="18"/>
                <w:szCs w:val="18"/>
              </w:rPr>
              <w:t xml:space="preserve">Rural-Urban Continuum Codes, 2023</w:t>
            </w:r>
          </w:p>
        </w:tc>
        <w:tc>
          <w:tcPr>
            <w:tcW w:type="dxa" w:w="1731"/>
            <w:tcMar>
              <w:top w:type="dxa" w:w="60"/>
              <w:left w:type="dxa" w:w="108"/>
              <w:bottom w:type="dxa" w:w="60"/>
              <w:right w:type="dxa" w:w="108"/>
            </w:tcMar>
          </w:tcPr>
          <w:p>
            <w:pPr>
              <w:spacing w:after="0" w:line="240"/>
            </w:pPr>
            <w:r>
              <w:rPr>
                <w:sz w:val="18"/>
                <w:szCs w:val="18"/>
              </w:rPr>
              <w:t xml:space="preserve">USDA Economic Research Service</w:t>
            </w:r>
          </w:p>
        </w:tc>
        <w:tc>
          <w:tcPr>
            <w:tcW w:type="dxa" w:w="1731"/>
            <w:tcMar>
              <w:top w:type="dxa" w:w="60"/>
              <w:left w:type="dxa" w:w="108"/>
              <w:bottom w:type="dxa" w:w="60"/>
              <w:right w:type="dxa" w:w="108"/>
            </w:tcMar>
          </w:tcPr>
          <w:p>
            <w:pPr>
              <w:spacing w:after="0" w:line="240"/>
            </w:pPr>
            <w:r>
              <w:rPr>
                <w:sz w:val="18"/>
                <w:szCs w:val="18"/>
              </w:rPr>
              <w:t xml:space="preserve">The urbanicity axis of coverage</w:t>
            </w:r>
          </w:p>
        </w:tc>
        <w:tc>
          <w:tcPr>
            <w:tcW w:type="dxa" w:w="1731"/>
            <w:tcMar>
              <w:top w:type="dxa" w:w="60"/>
              <w:left w:type="dxa" w:w="108"/>
              <w:bottom w:type="dxa" w:w="60"/>
              <w:right w:type="dxa" w:w="108"/>
            </w:tcMar>
          </w:tcPr>
          <w:p>
            <w:pPr>
              <w:spacing w:after="0" w:line="240"/>
            </w:pPr>
            <w:r>
              <w:rPr>
                <w:sz w:val="18"/>
                <w:szCs w:val="18"/>
              </w:rPr>
              <w:t xml:space="preserve">https://www.ers.usda.gov/data-products/rural-urban-continuum-codes</w:t>
            </w:r>
          </w:p>
        </w:tc>
        <w:tc>
          <w:tcPr>
            <w:tcW w:type="dxa" w:w="1733"/>
            <w:tcMar>
              <w:top w:type="dxa" w:w="60"/>
              <w:left w:type="dxa" w:w="108"/>
              <w:bottom w:type="dxa" w:w="60"/>
              <w:right w:type="dxa" w:w="108"/>
            </w:tcMar>
          </w:tcPr>
          <w:p>
            <w:pPr>
              <w:spacing w:after="0" w:line="240"/>
            </w:pPr>
            <w:r>
              <w:rPr>
                <w:sz w:val="18"/>
                <w:szCs w:val="18"/>
              </w:rPr>
              <w:t xml:space="preserve">Public domain</w:t>
            </w:r>
          </w:p>
        </w:tc>
      </w:tr>
      <w:tr>
        <w:trPr>
          <w:tblHeader w:val="off"/>
        </w:trPr>
        <w:tc>
          <w:tcPr>
            <w:tcW w:type="dxa" w:w="2434"/>
            <w:tcMar>
              <w:top w:type="dxa" w:w="60"/>
              <w:left w:type="dxa" w:w="108"/>
              <w:bottom w:type="dxa" w:w="60"/>
              <w:right w:type="dxa" w:w="108"/>
            </w:tcMar>
          </w:tcPr>
          <w:p>
            <w:pPr>
              <w:spacing w:after="0" w:line="240"/>
            </w:pPr>
            <w:r>
              <w:rPr>
                <w:sz w:val="18"/>
                <w:szCs w:val="18"/>
              </w:rPr>
              <w:t xml:space="preserve">National Sewershed Dataset, v1.2</w:t>
            </w:r>
          </w:p>
        </w:tc>
        <w:tc>
          <w:tcPr>
            <w:tcW w:type="dxa" w:w="1731"/>
            <w:tcMar>
              <w:top w:type="dxa" w:w="60"/>
              <w:left w:type="dxa" w:w="108"/>
              <w:bottom w:type="dxa" w:w="60"/>
              <w:right w:type="dxa" w:w="108"/>
            </w:tcMar>
          </w:tcPr>
          <w:p>
            <w:pPr>
              <w:spacing w:after="0" w:line="240"/>
            </w:pPr>
            <w:r>
              <w:rPr>
                <w:sz w:val="18"/>
                <w:szCs w:val="18"/>
              </w:rPr>
              <w:t xml:space="preserve">EPA</w:t>
            </w:r>
          </w:p>
        </w:tc>
        <w:tc>
          <w:tcPr>
            <w:tcW w:type="dxa" w:w="1731"/>
            <w:tcMar>
              <w:top w:type="dxa" w:w="60"/>
              <w:left w:type="dxa" w:w="108"/>
              <w:bottom w:type="dxa" w:w="60"/>
              <w:right w:type="dxa" w:w="108"/>
            </w:tcMar>
          </w:tcPr>
          <w:p>
            <w:pPr>
              <w:spacing w:after="0" w:line="240"/>
            </w:pPr>
            <w:r>
              <w:rPr>
                <w:sz w:val="18"/>
                <w:szCs w:val="18"/>
              </w:rPr>
              <w:t xml:space="preserve">Measured sewered population per county</w:t>
            </w:r>
          </w:p>
        </w:tc>
        <w:tc>
          <w:tcPr>
            <w:tcW w:type="dxa" w:w="1731"/>
            <w:tcMar>
              <w:top w:type="dxa" w:w="60"/>
              <w:left w:type="dxa" w:w="108"/>
              <w:bottom w:type="dxa" w:w="60"/>
              <w:right w:type="dxa" w:w="108"/>
            </w:tcMar>
          </w:tcPr>
          <w:p>
            <w:pPr>
              <w:spacing w:after="0" w:line="240"/>
            </w:pPr>
            <w:r>
              <w:rPr>
                <w:sz w:val="18"/>
                <w:szCs w:val="18"/>
              </w:rPr>
              <w:t xml:space="preserve">https://github.com/USEPA/Sewersheds</w:t>
            </w:r>
          </w:p>
        </w:tc>
        <w:tc>
          <w:tcPr>
            <w:tcW w:type="dxa" w:w="1733"/>
            <w:tcMar>
              <w:top w:type="dxa" w:w="60"/>
              <w:left w:type="dxa" w:w="108"/>
              <w:bottom w:type="dxa" w:w="60"/>
              <w:right w:type="dxa" w:w="108"/>
            </w:tcMar>
          </w:tcPr>
          <w:p>
            <w:pPr>
              <w:spacing w:after="0" w:line="240"/>
            </w:pPr>
            <w:r>
              <w:rPr>
                <w:sz w:val="18"/>
                <w:szCs w:val="18"/>
              </w:rPr>
              <w:t xml:space="preserve">Public domain</w:t>
            </w:r>
          </w:p>
        </w:tc>
      </w:tr>
      <w:tr>
        <w:trPr>
          <w:tblHeader w:val="off"/>
        </w:trPr>
        <w:tc>
          <w:tcPr>
            <w:tcW w:type="dxa" w:w="2434"/>
            <w:tcMar>
              <w:top w:type="dxa" w:w="60"/>
              <w:left w:type="dxa" w:w="108"/>
              <w:bottom w:type="dxa" w:w="60"/>
              <w:right w:type="dxa" w:w="108"/>
            </w:tcMar>
          </w:tcPr>
          <w:p>
            <w:pPr>
              <w:spacing w:after="0" w:line="240"/>
            </w:pPr>
            <w:r>
              <w:rPr>
                <w:sz w:val="18"/>
                <w:szCs w:val="18"/>
              </w:rPr>
              <w:t xml:space="preserve">Clean Watersheds Needs Survey 2022</w:t>
            </w:r>
          </w:p>
        </w:tc>
        <w:tc>
          <w:tcPr>
            <w:tcW w:type="dxa" w:w="1731"/>
            <w:tcMar>
              <w:top w:type="dxa" w:w="60"/>
              <w:left w:type="dxa" w:w="108"/>
              <w:bottom w:type="dxa" w:w="60"/>
              <w:right w:type="dxa" w:w="108"/>
            </w:tcMar>
          </w:tcPr>
          <w:p>
            <w:pPr>
              <w:spacing w:after="0" w:line="240"/>
            </w:pPr>
            <w:r>
              <w:rPr>
                <w:sz w:val="18"/>
                <w:szCs w:val="18"/>
              </w:rPr>
              <w:t xml:space="preserve">EPA</w:t>
            </w:r>
          </w:p>
        </w:tc>
        <w:tc>
          <w:tcPr>
            <w:tcW w:type="dxa" w:w="1731"/>
            <w:tcMar>
              <w:top w:type="dxa" w:w="60"/>
              <w:left w:type="dxa" w:w="108"/>
              <w:bottom w:type="dxa" w:w="60"/>
              <w:right w:type="dxa" w:w="108"/>
            </w:tcMar>
          </w:tcPr>
          <w:p>
            <w:pPr>
              <w:spacing w:after="0" w:line="240"/>
            </w:pPr>
            <w:r>
              <w:rPr>
                <w:sz w:val="18"/>
                <w:szCs w:val="18"/>
              </w:rPr>
              <w:t xml:space="preserve">Treatment facility inventory behind the sewershed data</w:t>
            </w:r>
          </w:p>
        </w:tc>
        <w:tc>
          <w:tcPr>
            <w:tcW w:type="dxa" w:w="1731"/>
            <w:tcMar>
              <w:top w:type="dxa" w:w="60"/>
              <w:left w:type="dxa" w:w="108"/>
              <w:bottom w:type="dxa" w:w="60"/>
              <w:right w:type="dxa" w:w="108"/>
            </w:tcMar>
          </w:tcPr>
          <w:p>
            <w:pPr>
              <w:spacing w:after="0" w:line="240"/>
            </w:pPr>
            <w:r>
              <w:rPr>
                <w:sz w:val="18"/>
                <w:szCs w:val="18"/>
              </w:rPr>
              <w:t xml:space="preserve">https://www.epa.gov/cwns</w:t>
            </w:r>
          </w:p>
        </w:tc>
        <w:tc>
          <w:tcPr>
            <w:tcW w:type="dxa" w:w="1733"/>
            <w:tcMar>
              <w:top w:type="dxa" w:w="60"/>
              <w:left w:type="dxa" w:w="108"/>
              <w:bottom w:type="dxa" w:w="60"/>
              <w:right w:type="dxa" w:w="108"/>
            </w:tcMar>
          </w:tcPr>
          <w:p>
            <w:pPr>
              <w:spacing w:after="0" w:line="240"/>
            </w:pPr>
            <w:r>
              <w:rPr>
                <w:sz w:val="18"/>
                <w:szCs w:val="18"/>
              </w:rPr>
              <w:t xml:space="preserve">Public domain</w:t>
            </w:r>
          </w:p>
        </w:tc>
      </w:tr>
      <w:tr>
        <w:trPr>
          <w:tblHeader w:val="off"/>
        </w:trPr>
        <w:tc>
          <w:tcPr>
            <w:tcW w:type="dxa" w:w="2434"/>
            <w:tcMar>
              <w:top w:type="dxa" w:w="60"/>
              <w:left w:type="dxa" w:w="108"/>
              <w:bottom w:type="dxa" w:w="60"/>
              <w:right w:type="dxa" w:w="108"/>
            </w:tcMar>
          </w:tcPr>
          <w:p>
            <w:pPr>
              <w:spacing w:after="0" w:line="240"/>
            </w:pPr>
            <w:r>
              <w:rPr>
                <w:sz w:val="18"/>
                <w:szCs w:val="18"/>
              </w:rPr>
              <w:t xml:space="preserve">TIGER/Line county boundaries, 2025</w:t>
            </w:r>
          </w:p>
        </w:tc>
        <w:tc>
          <w:tcPr>
            <w:tcW w:type="dxa" w:w="1731"/>
            <w:tcMar>
              <w:top w:type="dxa" w:w="60"/>
              <w:left w:type="dxa" w:w="108"/>
              <w:bottom w:type="dxa" w:w="60"/>
              <w:right w:type="dxa" w:w="108"/>
            </w:tcMar>
          </w:tcPr>
          <w:p>
            <w:pPr>
              <w:spacing w:after="0" w:line="240"/>
            </w:pPr>
            <w:r>
              <w:rPr>
                <w:sz w:val="18"/>
                <w:szCs w:val="18"/>
              </w:rPr>
              <w:t xml:space="preserve">U.S. Census Bureau</w:t>
            </w:r>
          </w:p>
        </w:tc>
        <w:tc>
          <w:tcPr>
            <w:tcW w:type="dxa" w:w="1731"/>
            <w:tcMar>
              <w:top w:type="dxa" w:w="60"/>
              <w:left w:type="dxa" w:w="108"/>
              <w:bottom w:type="dxa" w:w="60"/>
              <w:right w:type="dxa" w:w="108"/>
            </w:tcMar>
          </w:tcPr>
          <w:p>
            <w:pPr>
              <w:spacing w:after="0" w:line="240"/>
            </w:pPr>
            <w:r>
              <w:rPr>
                <w:sz w:val="18"/>
                <w:szCs w:val="18"/>
              </w:rPr>
              <w:t xml:space="preserve">County geography</w:t>
            </w:r>
          </w:p>
        </w:tc>
        <w:tc>
          <w:tcPr>
            <w:tcW w:type="dxa" w:w="1731"/>
            <w:tcMar>
              <w:top w:type="dxa" w:w="60"/>
              <w:left w:type="dxa" w:w="108"/>
              <w:bottom w:type="dxa" w:w="60"/>
              <w:right w:type="dxa" w:w="108"/>
            </w:tcMar>
          </w:tcPr>
          <w:p>
            <w:pPr>
              <w:spacing w:after="0" w:line="240"/>
            </w:pPr>
            <w:r>
              <w:rPr>
                <w:sz w:val="18"/>
                <w:szCs w:val="18"/>
              </w:rPr>
              <w:t xml:space="preserve">https://www.census.gov/geographies/mapping-files/time-series/geo/tiger-line-file.html</w:t>
            </w:r>
          </w:p>
        </w:tc>
        <w:tc>
          <w:tcPr>
            <w:tcW w:type="dxa" w:w="1733"/>
            <w:tcMar>
              <w:top w:type="dxa" w:w="60"/>
              <w:left w:type="dxa" w:w="108"/>
              <w:bottom w:type="dxa" w:w="60"/>
              <w:right w:type="dxa" w:w="108"/>
            </w:tcMar>
          </w:tcPr>
          <w:p>
            <w:pPr>
              <w:spacing w:after="0" w:line="240"/>
            </w:pPr>
            <w:r>
              <w:rPr>
                <w:sz w:val="18"/>
                <w:szCs w:val="18"/>
              </w:rPr>
              <w:t xml:space="preserve">Public domain</w:t>
            </w:r>
          </w:p>
        </w:tc>
      </w:tr>
      <w:tr>
        <w:trPr>
          <w:tblHeader w:val="off"/>
        </w:trPr>
        <w:tc>
          <w:tcPr>
            <w:tcW w:type="dxa" w:w="2434"/>
            <w:tcMar>
              <w:top w:type="dxa" w:w="60"/>
              <w:left w:type="dxa" w:w="108"/>
              <w:bottom w:type="dxa" w:w="60"/>
              <w:right w:type="dxa" w:w="108"/>
            </w:tcMar>
          </w:tcPr>
          <w:p>
            <w:pPr>
              <w:spacing w:after="0" w:line="240"/>
            </w:pPr>
            <w:r>
              <w:rPr>
                <w:sz w:val="18"/>
                <w:szCs w:val="18"/>
              </w:rPr>
              <w:t xml:space="preserve">NCBI Virus and NCBI Datasets API v2</w:t>
            </w:r>
          </w:p>
        </w:tc>
        <w:tc>
          <w:tcPr>
            <w:tcW w:type="dxa" w:w="1731"/>
            <w:tcMar>
              <w:top w:type="dxa" w:w="60"/>
              <w:left w:type="dxa" w:w="108"/>
              <w:bottom w:type="dxa" w:w="60"/>
              <w:right w:type="dxa" w:w="108"/>
            </w:tcMar>
          </w:tcPr>
          <w:p>
            <w:pPr>
              <w:spacing w:after="0" w:line="240"/>
            </w:pPr>
            <w:r>
              <w:rPr>
                <w:sz w:val="18"/>
                <w:szCs w:val="18"/>
              </w:rPr>
              <w:t xml:space="preserve">National Library of Medicine</w:t>
            </w:r>
          </w:p>
        </w:tc>
        <w:tc>
          <w:tcPr>
            <w:tcW w:type="dxa" w:w="1731"/>
            <w:tcMar>
              <w:top w:type="dxa" w:w="60"/>
              <w:left w:type="dxa" w:w="108"/>
              <w:bottom w:type="dxa" w:w="60"/>
              <w:right w:type="dxa" w:w="108"/>
            </w:tcMar>
          </w:tcPr>
          <w:p>
            <w:pPr>
              <w:spacing w:after="0" w:line="240"/>
            </w:pPr>
            <w:r>
              <w:rPr>
                <w:sz w:val="18"/>
                <w:szCs w:val="18"/>
              </w:rPr>
              <w:t xml:space="preserve">Sequence records and genomic summaries</w:t>
            </w:r>
          </w:p>
        </w:tc>
        <w:tc>
          <w:tcPr>
            <w:tcW w:type="dxa" w:w="1731"/>
            <w:tcMar>
              <w:top w:type="dxa" w:w="60"/>
              <w:left w:type="dxa" w:w="108"/>
              <w:bottom w:type="dxa" w:w="60"/>
              <w:right w:type="dxa" w:w="108"/>
            </w:tcMar>
          </w:tcPr>
          <w:p>
            <w:pPr>
              <w:spacing w:after="0" w:line="240"/>
            </w:pPr>
            <w:r>
              <w:rPr>
                <w:sz w:val="18"/>
                <w:szCs w:val="18"/>
              </w:rPr>
              <w:t xml:space="preserve">https://www.ncbi.nlm.nih.gov/datasets</w:t>
            </w:r>
          </w:p>
        </w:tc>
        <w:tc>
          <w:tcPr>
            <w:tcW w:type="dxa" w:w="1733"/>
            <w:tcMar>
              <w:top w:type="dxa" w:w="60"/>
              <w:left w:type="dxa" w:w="108"/>
              <w:bottom w:type="dxa" w:w="60"/>
              <w:right w:type="dxa" w:w="108"/>
            </w:tcMar>
          </w:tcPr>
          <w:p>
            <w:pPr>
              <w:spacing w:after="0" w:line="240"/>
            </w:pPr>
            <w:r>
              <w:rPr>
                <w:sz w:val="18"/>
                <w:szCs w:val="18"/>
              </w:rPr>
              <w:t xml:space="preserve">Public domain</w:t>
            </w:r>
          </w:p>
        </w:tc>
      </w:tr>
      <w:tr>
        <w:trPr>
          <w:tblHeader w:val="off"/>
        </w:trPr>
        <w:tc>
          <w:tcPr>
            <w:tcW w:type="dxa" w:w="2434"/>
            <w:tcMar>
              <w:top w:type="dxa" w:w="60"/>
              <w:left w:type="dxa" w:w="108"/>
              <w:bottom w:type="dxa" w:w="60"/>
              <w:right w:type="dxa" w:w="108"/>
            </w:tcMar>
          </w:tcPr>
          <w:p>
            <w:pPr>
              <w:spacing w:after="0" w:line="240"/>
            </w:pPr>
            <w:r>
              <w:rPr>
                <w:sz w:val="18"/>
                <w:szCs w:val="18"/>
              </w:rPr>
              <w:t xml:space="preserve">Protein Data Bank entries</w:t>
            </w:r>
          </w:p>
        </w:tc>
        <w:tc>
          <w:tcPr>
            <w:tcW w:type="dxa" w:w="1731"/>
            <w:tcMar>
              <w:top w:type="dxa" w:w="60"/>
              <w:left w:type="dxa" w:w="108"/>
              <w:bottom w:type="dxa" w:w="60"/>
              <w:right w:type="dxa" w:w="108"/>
            </w:tcMar>
          </w:tcPr>
          <w:p>
            <w:pPr>
              <w:spacing w:after="0" w:line="240"/>
            </w:pPr>
            <w:r>
              <w:rPr>
                <w:sz w:val="18"/>
                <w:szCs w:val="18"/>
              </w:rPr>
              <w:t xml:space="preserve">RCSB PDB</w:t>
            </w:r>
          </w:p>
        </w:tc>
        <w:tc>
          <w:tcPr>
            <w:tcW w:type="dxa" w:w="1731"/>
            <w:tcMar>
              <w:top w:type="dxa" w:w="60"/>
              <w:left w:type="dxa" w:w="108"/>
              <w:bottom w:type="dxa" w:w="60"/>
              <w:right w:type="dxa" w:w="108"/>
            </w:tcMar>
          </w:tcPr>
          <w:p>
            <w:pPr>
              <w:spacing w:after="0" w:line="240"/>
            </w:pPr>
            <w:r>
              <w:rPr>
                <w:sz w:val="18"/>
                <w:szCs w:val="18"/>
              </w:rPr>
              <w:t xml:space="preserve">Reference structures</w:t>
            </w:r>
          </w:p>
        </w:tc>
        <w:tc>
          <w:tcPr>
            <w:tcW w:type="dxa" w:w="1731"/>
            <w:tcMar>
              <w:top w:type="dxa" w:w="60"/>
              <w:left w:type="dxa" w:w="108"/>
              <w:bottom w:type="dxa" w:w="60"/>
              <w:right w:type="dxa" w:w="108"/>
            </w:tcMar>
          </w:tcPr>
          <w:p>
            <w:pPr>
              <w:spacing w:after="0" w:line="240"/>
            </w:pPr>
            <w:r>
              <w:rPr>
                <w:sz w:val="18"/>
                <w:szCs w:val="18"/>
              </w:rPr>
              <w:t xml:space="preserve">https://www.rcsb.org</w:t>
            </w:r>
          </w:p>
        </w:tc>
        <w:tc>
          <w:tcPr>
            <w:tcW w:type="dxa" w:w="1733"/>
            <w:tcMar>
              <w:top w:type="dxa" w:w="60"/>
              <w:left w:type="dxa" w:w="108"/>
              <w:bottom w:type="dxa" w:w="60"/>
              <w:right w:type="dxa" w:w="108"/>
            </w:tcMar>
          </w:tcPr>
          <w:p>
            <w:pPr>
              <w:spacing w:after="0" w:line="240"/>
            </w:pPr>
            <w:r>
              <w:rPr>
                <w:sz w:val="18"/>
                <w:szCs w:val="18"/>
              </w:rPr>
              <w:t xml:space="preserve">Open, cite per entry</w:t>
            </w:r>
          </w:p>
        </w:tc>
      </w:tr>
      <w:tr>
        <w:trPr>
          <w:tblHeader w:val="off"/>
        </w:trPr>
        <w:tc>
          <w:tcPr>
            <w:tcW w:type="dxa" w:w="2434"/>
            <w:tcMar>
              <w:top w:type="dxa" w:w="60"/>
              <w:left w:type="dxa" w:w="108"/>
              <w:bottom w:type="dxa" w:w="60"/>
              <w:right w:type="dxa" w:w="108"/>
            </w:tcMar>
          </w:tcPr>
          <w:p>
            <w:pPr>
              <w:spacing w:after="0" w:line="240"/>
            </w:pPr>
            <w:r>
              <w:rPr>
                <w:sz w:val="18"/>
                <w:szCs w:val="18"/>
              </w:rPr>
              <w:t xml:space="preserve">WHO/UNICEF JMP sanitation data</w:t>
            </w:r>
          </w:p>
        </w:tc>
        <w:tc>
          <w:tcPr>
            <w:tcW w:type="dxa" w:w="1731"/>
            <w:tcMar>
              <w:top w:type="dxa" w:w="60"/>
              <w:left w:type="dxa" w:w="108"/>
              <w:bottom w:type="dxa" w:w="60"/>
              <w:right w:type="dxa" w:w="108"/>
            </w:tcMar>
          </w:tcPr>
          <w:p>
            <w:pPr>
              <w:spacing w:after="0" w:line="240"/>
            </w:pPr>
            <w:r>
              <w:rPr>
                <w:sz w:val="18"/>
                <w:szCs w:val="18"/>
              </w:rPr>
              <w:t xml:space="preserve">WHO/UNICEF</w:t>
            </w:r>
          </w:p>
        </w:tc>
        <w:tc>
          <w:tcPr>
            <w:tcW w:type="dxa" w:w="1731"/>
            <w:tcMar>
              <w:top w:type="dxa" w:w="60"/>
              <w:left w:type="dxa" w:w="108"/>
              <w:bottom w:type="dxa" w:w="60"/>
              <w:right w:type="dxa" w:w="108"/>
            </w:tcMar>
          </w:tcPr>
          <w:p>
            <w:pPr>
              <w:spacing w:after="0" w:line="240"/>
            </w:pPr>
            <w:r>
              <w:rPr>
                <w:sz w:val="18"/>
                <w:szCs w:val="18"/>
              </w:rPr>
              <w:t xml:space="preserve">Global sewer-connection shares</w:t>
            </w:r>
          </w:p>
        </w:tc>
        <w:tc>
          <w:tcPr>
            <w:tcW w:type="dxa" w:w="1731"/>
            <w:tcMar>
              <w:top w:type="dxa" w:w="60"/>
              <w:left w:type="dxa" w:w="108"/>
              <w:bottom w:type="dxa" w:w="60"/>
              <w:right w:type="dxa" w:w="108"/>
            </w:tcMar>
          </w:tcPr>
          <w:p>
            <w:pPr>
              <w:spacing w:after="0" w:line="240"/>
            </w:pPr>
            <w:r>
              <w:rPr>
                <w:sz w:val="18"/>
                <w:szCs w:val="18"/>
              </w:rPr>
              <w:t xml:space="preserve">https://washdata.org</w:t>
            </w:r>
          </w:p>
        </w:tc>
        <w:tc>
          <w:tcPr>
            <w:tcW w:type="dxa" w:w="1733"/>
            <w:tcMar>
              <w:top w:type="dxa" w:w="60"/>
              <w:left w:type="dxa" w:w="108"/>
              <w:bottom w:type="dxa" w:w="60"/>
              <w:right w:type="dxa" w:w="108"/>
            </w:tcMar>
          </w:tcPr>
          <w:p>
            <w:pPr>
              <w:spacing w:after="0" w:line="240"/>
            </w:pPr>
            <w:r>
              <w:rPr>
                <w:sz w:val="18"/>
                <w:szCs w:val="18"/>
              </w:rPr>
              <w:t xml:space="preserve">Open, cite source</w:t>
            </w:r>
          </w:p>
        </w:tc>
      </w:tr>
      <w:tr>
        <w:trPr>
          <w:tblHeader w:val="off"/>
        </w:trPr>
        <w:tc>
          <w:tcPr>
            <w:tcW w:type="dxa" w:w="2434"/>
            <w:tcMar>
              <w:top w:type="dxa" w:w="60"/>
              <w:left w:type="dxa" w:w="108"/>
              <w:bottom w:type="dxa" w:w="60"/>
              <w:right w:type="dxa" w:w="108"/>
            </w:tcMar>
          </w:tcPr>
          <w:p>
            <w:pPr>
              <w:spacing w:after="0" w:line="240"/>
            </w:pPr>
            <w:r>
              <w:rPr>
                <w:sz w:val="18"/>
                <w:szCs w:val="18"/>
              </w:rPr>
              <w:t xml:space="preserve">World Bank income classification</w:t>
            </w:r>
          </w:p>
        </w:tc>
        <w:tc>
          <w:tcPr>
            <w:tcW w:type="dxa" w:w="1731"/>
            <w:tcMar>
              <w:top w:type="dxa" w:w="60"/>
              <w:left w:type="dxa" w:w="108"/>
              <w:bottom w:type="dxa" w:w="60"/>
              <w:right w:type="dxa" w:w="108"/>
            </w:tcMar>
          </w:tcPr>
          <w:p>
            <w:pPr>
              <w:spacing w:after="0" w:line="240"/>
            </w:pPr>
            <w:r>
              <w:rPr>
                <w:sz w:val="18"/>
                <w:szCs w:val="18"/>
              </w:rPr>
              <w:t xml:space="preserve">World Bank</w:t>
            </w:r>
          </w:p>
        </w:tc>
        <w:tc>
          <w:tcPr>
            <w:tcW w:type="dxa" w:w="1731"/>
            <w:tcMar>
              <w:top w:type="dxa" w:w="60"/>
              <w:left w:type="dxa" w:w="108"/>
              <w:bottom w:type="dxa" w:w="60"/>
              <w:right w:type="dxa" w:w="108"/>
            </w:tcMar>
          </w:tcPr>
          <w:p>
            <w:pPr>
              <w:spacing w:after="0" w:line="240"/>
            </w:pPr>
            <w:r>
              <w:rPr>
                <w:sz w:val="18"/>
                <w:szCs w:val="18"/>
              </w:rPr>
              <w:t xml:space="preserve">Country income groups</w:t>
            </w:r>
          </w:p>
        </w:tc>
        <w:tc>
          <w:tcPr>
            <w:tcW w:type="dxa" w:w="1731"/>
            <w:tcMar>
              <w:top w:type="dxa" w:w="60"/>
              <w:left w:type="dxa" w:w="108"/>
              <w:bottom w:type="dxa" w:w="60"/>
              <w:right w:type="dxa" w:w="108"/>
            </w:tcMar>
          </w:tcPr>
          <w:p>
            <w:pPr>
              <w:spacing w:after="0" w:line="240"/>
            </w:pPr>
            <w:r>
              <w:rPr>
                <w:sz w:val="18"/>
                <w:szCs w:val="18"/>
              </w:rPr>
              <w:t xml:space="preserve">https://api.worldbank.org</w:t>
            </w:r>
          </w:p>
        </w:tc>
        <w:tc>
          <w:tcPr>
            <w:tcW w:type="dxa" w:w="1733"/>
            <w:tcMar>
              <w:top w:type="dxa" w:w="60"/>
              <w:left w:type="dxa" w:w="108"/>
              <w:bottom w:type="dxa" w:w="60"/>
              <w:right w:type="dxa" w:w="108"/>
            </w:tcMar>
          </w:tcPr>
          <w:p>
            <w:pPr>
              <w:spacing w:after="0" w:line="240"/>
            </w:pPr>
            <w:r>
              <w:rPr>
                <w:sz w:val="18"/>
                <w:szCs w:val="18"/>
              </w:rPr>
              <w:t xml:space="preserve">CC BY 4.0</w:t>
            </w:r>
          </w:p>
        </w:tc>
      </w:tr>
    </w:tbl>
    <w:p>
      <w:pPr>
        <w:spacing w:after="160"/>
      </w:pPr>
    </w:p>
    <w:p>
      <w:pPr>
        <w:spacing w:after="120" w:line="276"/>
      </w:pPr>
      <w:r>
        <w:t xml:space="preserve">Exact file names, download dates and original row counts for everything stored in this repository are recorded in </w:t>
      </w:r>
      <w:r>
        <w:rPr>
          <w:rFonts w:ascii="Consolas" w:cs="Consolas" w:eastAsia="Consolas" w:hAnsi="Consolas"/>
          <w:color w:val="6E1F2B"/>
          <w:sz w:val="18"/>
          <w:szCs w:val="18"/>
        </w:rPr>
        <w:t xml:space="preserve">static_inputs/README.md</w:t>
      </w:r>
      <w:r>
        <w:t xml:space="preserve">.</w:t>
      </w:r>
    </w:p>
    <w:p>
      <w:pPr>
        <w:pBdr>
          <w:bottom w:val="single" w:color="D8D8D8" w:sz="6"/>
        </w:pBdr>
        <w:spacing w:after="160" w:before="80"/>
      </w:pPr>
    </w:p>
    <w:p>
      <w:pPr>
        <w:pStyle w:val="Heading1"/>
        <w:pBdr>
          <w:bottom w:val="single" w:color="C49A4A" w:sz="8" w:space="6"/>
        </w:pBdr>
        <w:spacing w:after="120" w:before="320"/>
      </w:pPr>
      <w:r>
        <w:rPr>
          <w:b/>
          <w:bCs/>
          <w:color w:val="14213A"/>
          <w:sz w:val="30"/>
          <w:szCs w:val="30"/>
        </w:rPr>
        <w:t xml:space="preserve">3. Software</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3182"/>
        <w:gridCol w:w="3089"/>
        <w:gridCol w:w="3089"/>
      </w:tblGrid>
      <w:tr>
        <w:trPr>
          <w:tblHeader/>
        </w:trPr>
        <w:tc>
          <w:tcPr>
            <w:tcW w:type="dxa" w:w="3182"/>
            <w:shd w:fill="14213A" w:val="clear"/>
            <w:tcMar>
              <w:top w:type="dxa" w:w="60"/>
              <w:left w:type="dxa" w:w="108"/>
              <w:bottom w:type="dxa" w:w="60"/>
              <w:right w:type="dxa" w:w="108"/>
            </w:tcMar>
          </w:tcPr>
          <w:p>
            <w:pPr>
              <w:spacing w:after="0" w:line="240"/>
            </w:pPr>
            <w:r>
              <w:rPr>
                <w:b/>
                <w:bCs/>
                <w:color w:val="FFFFFF"/>
                <w:sz w:val="18"/>
                <w:szCs w:val="18"/>
              </w:rPr>
              <w:t xml:space="preserve">Software</w:t>
            </w:r>
          </w:p>
        </w:tc>
        <w:tc>
          <w:tcPr>
            <w:tcW w:type="dxa" w:w="3089"/>
            <w:shd w:fill="14213A" w:val="clear"/>
            <w:tcMar>
              <w:top w:type="dxa" w:w="60"/>
              <w:left w:type="dxa" w:w="108"/>
              <w:bottom w:type="dxa" w:w="60"/>
              <w:right w:type="dxa" w:w="108"/>
            </w:tcMar>
          </w:tcPr>
          <w:p>
            <w:pPr>
              <w:spacing w:after="0" w:line="240"/>
            </w:pPr>
            <w:r>
              <w:rPr>
                <w:b/>
                <w:bCs/>
                <w:color w:val="FFFFFF"/>
                <w:sz w:val="18"/>
                <w:szCs w:val="18"/>
              </w:rPr>
              <w:t xml:space="preserve">Citation or source</w:t>
            </w:r>
          </w:p>
        </w:tc>
        <w:tc>
          <w:tcPr>
            <w:tcW w:type="dxa" w:w="3089"/>
            <w:shd w:fill="14213A" w:val="clear"/>
            <w:tcMar>
              <w:top w:type="dxa" w:w="60"/>
              <w:left w:type="dxa" w:w="108"/>
              <w:bottom w:type="dxa" w:w="60"/>
              <w:right w:type="dxa" w:w="108"/>
            </w:tcMar>
          </w:tcPr>
          <w:p>
            <w:pPr>
              <w:spacing w:after="0" w:line="240"/>
            </w:pPr>
            <w:r>
              <w:rPr>
                <w:b/>
                <w:bCs/>
                <w:color w:val="FFFFFF"/>
                <w:sz w:val="18"/>
                <w:szCs w:val="18"/>
              </w:rPr>
              <w:t xml:space="preserve">Licence</w:t>
            </w:r>
          </w:p>
        </w:tc>
      </w:tr>
      <w:tr>
        <w:trPr>
          <w:tblHeader w:val="off"/>
        </w:trPr>
        <w:tc>
          <w:tcPr>
            <w:tcW w:type="dxa" w:w="3182"/>
            <w:tcMar>
              <w:top w:type="dxa" w:w="60"/>
              <w:left w:type="dxa" w:w="108"/>
              <w:bottom w:type="dxa" w:w="60"/>
              <w:right w:type="dxa" w:w="108"/>
            </w:tcMar>
          </w:tcPr>
          <w:p>
            <w:pPr>
              <w:spacing w:after="0" w:line="240"/>
            </w:pPr>
            <w:r>
              <w:rPr>
                <w:sz w:val="18"/>
                <w:szCs w:val="18"/>
              </w:rPr>
              <w:t xml:space="preserve">D³</w:t>
            </w:r>
          </w:p>
        </w:tc>
        <w:tc>
          <w:tcPr>
            <w:tcW w:type="dxa" w:w="3089"/>
            <w:tcMar>
              <w:top w:type="dxa" w:w="60"/>
              <w:left w:type="dxa" w:w="108"/>
              <w:bottom w:type="dxa" w:w="60"/>
              <w:right w:type="dxa" w:w="108"/>
            </w:tcMar>
          </w:tcPr>
          <w:p>
            <w:pPr>
              <w:spacing w:after="0" w:line="240"/>
            </w:pPr>
            <w:r>
              <w:rPr>
                <w:sz w:val="18"/>
                <w:szCs w:val="18"/>
              </w:rPr>
              <w:t xml:space="preserve">Bostock M, Ogievetsky V, Heer J. D³: Data-Driven Documents. </w:t>
            </w:r>
            <w:r>
              <w:rPr>
                <w:i/>
                <w:iCs/>
                <w:sz w:val="18"/>
                <w:szCs w:val="18"/>
              </w:rPr>
              <w:t xml:space="preserve">IEEE Transactions on Visualization and Computer Graphics</w:t>
            </w:r>
            <w:r>
              <w:rPr>
                <w:sz w:val="18"/>
                <w:szCs w:val="18"/>
              </w:rPr>
              <w:t xml:space="preserve">. 2011;17(12):2301–2309. https://doi.org/10.1109/TVCG.2011.185</w:t>
            </w:r>
          </w:p>
        </w:tc>
        <w:tc>
          <w:tcPr>
            <w:tcW w:type="dxa" w:w="3089"/>
            <w:tcMar>
              <w:top w:type="dxa" w:w="60"/>
              <w:left w:type="dxa" w:w="108"/>
              <w:bottom w:type="dxa" w:w="60"/>
              <w:right w:type="dxa" w:w="108"/>
            </w:tcMar>
          </w:tcPr>
          <w:p>
            <w:pPr>
              <w:spacing w:after="0" w:line="240"/>
            </w:pPr>
            <w:r>
              <w:rPr>
                <w:sz w:val="18"/>
                <w:szCs w:val="18"/>
              </w:rPr>
              <w:t xml:space="preserve">BSD</w:t>
            </w:r>
          </w:p>
        </w:tc>
      </w:tr>
      <w:tr>
        <w:trPr>
          <w:tblHeader w:val="off"/>
        </w:trPr>
        <w:tc>
          <w:tcPr>
            <w:tcW w:type="dxa" w:w="3182"/>
            <w:tcMar>
              <w:top w:type="dxa" w:w="60"/>
              <w:left w:type="dxa" w:w="108"/>
              <w:bottom w:type="dxa" w:w="60"/>
              <w:right w:type="dxa" w:w="108"/>
            </w:tcMar>
          </w:tcPr>
          <w:p>
            <w:pPr>
              <w:spacing w:after="0" w:line="240"/>
            </w:pPr>
            <w:r>
              <w:rPr>
                <w:sz w:val="18"/>
                <w:szCs w:val="18"/>
              </w:rPr>
              <w:t xml:space="preserve">3Dmol.js</w:t>
            </w:r>
          </w:p>
        </w:tc>
        <w:tc>
          <w:tcPr>
            <w:tcW w:type="dxa" w:w="3089"/>
            <w:tcMar>
              <w:top w:type="dxa" w:w="60"/>
              <w:left w:type="dxa" w:w="108"/>
              <w:bottom w:type="dxa" w:w="60"/>
              <w:right w:type="dxa" w:w="108"/>
            </w:tcMar>
          </w:tcPr>
          <w:p>
            <w:pPr>
              <w:spacing w:after="0" w:line="240"/>
            </w:pPr>
            <w:r>
              <w:rPr>
                <w:sz w:val="18"/>
                <w:szCs w:val="18"/>
              </w:rPr>
              <w:t xml:space="preserve">Rego N, Koes D. 3Dmol.js: molecular visualization with WebGL. </w:t>
            </w:r>
            <w:r>
              <w:rPr>
                <w:i/>
                <w:iCs/>
                <w:sz w:val="18"/>
                <w:szCs w:val="18"/>
              </w:rPr>
              <w:t xml:space="preserve">Bioinformatics</w:t>
            </w:r>
            <w:r>
              <w:rPr>
                <w:sz w:val="18"/>
                <w:szCs w:val="18"/>
              </w:rPr>
              <w:t xml:space="preserve">. 2015;31(8):1322–1324. https://doi.org/10.1093/bioinformatics/btu829</w:t>
            </w:r>
          </w:p>
        </w:tc>
        <w:tc>
          <w:tcPr>
            <w:tcW w:type="dxa" w:w="3089"/>
            <w:tcMar>
              <w:top w:type="dxa" w:w="60"/>
              <w:left w:type="dxa" w:w="108"/>
              <w:bottom w:type="dxa" w:w="60"/>
              <w:right w:type="dxa" w:w="108"/>
            </w:tcMar>
          </w:tcPr>
          <w:p>
            <w:pPr>
              <w:spacing w:after="0" w:line="240"/>
            </w:pPr>
            <w:r>
              <w:rPr>
                <w:sz w:val="18"/>
                <w:szCs w:val="18"/>
              </w:rPr>
              <w:t xml:space="preserve">BSD</w:t>
            </w:r>
          </w:p>
        </w:tc>
      </w:tr>
      <w:tr>
        <w:trPr>
          <w:tblHeader w:val="off"/>
        </w:trPr>
        <w:tc>
          <w:tcPr>
            <w:tcW w:type="dxa" w:w="3182"/>
            <w:tcMar>
              <w:top w:type="dxa" w:w="60"/>
              <w:left w:type="dxa" w:w="108"/>
              <w:bottom w:type="dxa" w:w="60"/>
              <w:right w:type="dxa" w:w="108"/>
            </w:tcMar>
          </w:tcPr>
          <w:p>
            <w:pPr>
              <w:spacing w:after="0" w:line="240"/>
            </w:pPr>
            <w:r>
              <w:rPr>
                <w:sz w:val="18"/>
                <w:szCs w:val="18"/>
              </w:rPr>
              <w:t xml:space="preserve">us-atlas</w:t>
            </w:r>
          </w:p>
        </w:tc>
        <w:tc>
          <w:tcPr>
            <w:tcW w:type="dxa" w:w="3089"/>
            <w:tcMar>
              <w:top w:type="dxa" w:w="60"/>
              <w:left w:type="dxa" w:w="108"/>
              <w:bottom w:type="dxa" w:w="60"/>
              <w:right w:type="dxa" w:w="108"/>
            </w:tcMar>
          </w:tcPr>
          <w:p>
            <w:pPr>
              <w:spacing w:after="0" w:line="240"/>
            </w:pPr>
            <w:r>
              <w:rPr>
                <w:sz w:val="18"/>
                <w:szCs w:val="18"/>
              </w:rPr>
              <w:t xml:space="preserve">Bostock M. us-atlas: U.S. state and county boundaries in TopoJSON, derived from U.S. Census Bureau files. https://github.com/topojson/us-atlas</w:t>
            </w:r>
          </w:p>
        </w:tc>
        <w:tc>
          <w:tcPr>
            <w:tcW w:type="dxa" w:w="3089"/>
            <w:tcMar>
              <w:top w:type="dxa" w:w="60"/>
              <w:left w:type="dxa" w:w="108"/>
              <w:bottom w:type="dxa" w:w="60"/>
              <w:right w:type="dxa" w:w="108"/>
            </w:tcMar>
          </w:tcPr>
          <w:p>
            <w:pPr>
              <w:spacing w:after="0" w:line="240"/>
            </w:pPr>
            <w:r>
              <w:rPr>
                <w:sz w:val="18"/>
                <w:szCs w:val="18"/>
              </w:rPr>
              <w:t xml:space="preserve">ISC</w:t>
            </w:r>
          </w:p>
        </w:tc>
      </w:tr>
      <w:tr>
        <w:trPr>
          <w:tblHeader w:val="off"/>
        </w:trPr>
        <w:tc>
          <w:tcPr>
            <w:tcW w:type="dxa" w:w="3182"/>
            <w:tcMar>
              <w:top w:type="dxa" w:w="60"/>
              <w:left w:type="dxa" w:w="108"/>
              <w:bottom w:type="dxa" w:w="60"/>
              <w:right w:type="dxa" w:w="108"/>
            </w:tcMar>
          </w:tcPr>
          <w:p>
            <w:pPr>
              <w:spacing w:after="0" w:line="240"/>
            </w:pPr>
            <w:r>
              <w:rPr>
                <w:sz w:val="18"/>
                <w:szCs w:val="18"/>
              </w:rPr>
              <w:t xml:space="preserve">topojson-client</w:t>
            </w:r>
          </w:p>
        </w:tc>
        <w:tc>
          <w:tcPr>
            <w:tcW w:type="dxa" w:w="3089"/>
            <w:tcMar>
              <w:top w:type="dxa" w:w="60"/>
              <w:left w:type="dxa" w:w="108"/>
              <w:bottom w:type="dxa" w:w="60"/>
              <w:right w:type="dxa" w:w="108"/>
            </w:tcMar>
          </w:tcPr>
          <w:p>
            <w:pPr>
              <w:spacing w:after="0" w:line="240"/>
            </w:pPr>
            <w:r>
              <w:rPr>
                <w:sz w:val="18"/>
                <w:szCs w:val="18"/>
              </w:rPr>
              <w:t xml:space="preserve">https://github.com/topojson/topojson-client</w:t>
            </w:r>
          </w:p>
        </w:tc>
        <w:tc>
          <w:tcPr>
            <w:tcW w:type="dxa" w:w="3089"/>
            <w:tcMar>
              <w:top w:type="dxa" w:w="60"/>
              <w:left w:type="dxa" w:w="108"/>
              <w:bottom w:type="dxa" w:w="60"/>
              <w:right w:type="dxa" w:w="108"/>
            </w:tcMar>
          </w:tcPr>
          <w:p>
            <w:pPr>
              <w:spacing w:after="0" w:line="240"/>
            </w:pPr>
            <w:r>
              <w:rPr>
                <w:sz w:val="18"/>
                <w:szCs w:val="18"/>
              </w:rPr>
              <w:t xml:space="preserve">ISC</w:t>
            </w:r>
          </w:p>
        </w:tc>
      </w:tr>
      <w:tr>
        <w:trPr>
          <w:tblHeader w:val="off"/>
        </w:trPr>
        <w:tc>
          <w:tcPr>
            <w:tcW w:type="dxa" w:w="3182"/>
            <w:tcMar>
              <w:top w:type="dxa" w:w="60"/>
              <w:left w:type="dxa" w:w="108"/>
              <w:bottom w:type="dxa" w:w="60"/>
              <w:right w:type="dxa" w:w="108"/>
            </w:tcMar>
          </w:tcPr>
          <w:p>
            <w:pPr>
              <w:spacing w:after="0" w:line="240"/>
            </w:pPr>
            <w:r>
              <w:rPr>
                <w:sz w:val="18"/>
                <w:szCs w:val="18"/>
              </w:rPr>
              <w:t xml:space="preserve">pandas, NumPy, SciPy, statsmodels, scikit-learn, SHAP, matplotlib</w:t>
            </w:r>
          </w:p>
        </w:tc>
        <w:tc>
          <w:tcPr>
            <w:tcW w:type="dxa" w:w="3089"/>
            <w:tcMar>
              <w:top w:type="dxa" w:w="60"/>
              <w:left w:type="dxa" w:w="108"/>
              <w:bottom w:type="dxa" w:w="60"/>
              <w:right w:type="dxa" w:w="108"/>
            </w:tcMar>
          </w:tcPr>
          <w:p>
            <w:pPr>
              <w:spacing w:after="0" w:line="240"/>
            </w:pPr>
            <w:r>
              <w:rPr>
                <w:sz w:val="18"/>
                <w:szCs w:val="18"/>
              </w:rPr>
              <w:t xml:space="preserve">See </w:t>
            </w:r>
            <w:r>
              <w:rPr>
                <w:rFonts w:ascii="Consolas" w:cs="Consolas" w:eastAsia="Consolas" w:hAnsi="Consolas"/>
                <w:color w:val="6E1F2B"/>
                <w:sz w:val="18"/>
                <w:szCs w:val="18"/>
              </w:rPr>
              <w:t xml:space="preserve">docs/DASHBOARD_AUDIT.md</w:t>
            </w:r>
            <w:r>
              <w:rPr>
                <w:sz w:val="18"/>
                <w:szCs w:val="18"/>
              </w:rPr>
              <w:t xml:space="preserve"> for the versions used in each run</w:t>
            </w:r>
          </w:p>
        </w:tc>
        <w:tc>
          <w:tcPr>
            <w:tcW w:type="dxa" w:w="3089"/>
            <w:tcMar>
              <w:top w:type="dxa" w:w="60"/>
              <w:left w:type="dxa" w:w="108"/>
              <w:bottom w:type="dxa" w:w="60"/>
              <w:right w:type="dxa" w:w="108"/>
            </w:tcMar>
          </w:tcPr>
          <w:p>
            <w:pPr>
              <w:spacing w:after="0" w:line="240"/>
            </w:pPr>
            <w:r>
              <w:rPr>
                <w:sz w:val="18"/>
                <w:szCs w:val="18"/>
              </w:rPr>
              <w:t xml:space="preserve">BSD / MIT</w:t>
            </w:r>
          </w:p>
        </w:tc>
      </w:tr>
      <w:tr>
        <w:trPr>
          <w:tblHeader w:val="off"/>
        </w:trPr>
        <w:tc>
          <w:tcPr>
            <w:tcW w:type="dxa" w:w="3182"/>
            <w:tcMar>
              <w:top w:type="dxa" w:w="60"/>
              <w:left w:type="dxa" w:w="108"/>
              <w:bottom w:type="dxa" w:w="60"/>
              <w:right w:type="dxa" w:w="108"/>
            </w:tcMar>
          </w:tcPr>
          <w:p>
            <w:pPr>
              <w:spacing w:after="0" w:line="240"/>
            </w:pPr>
            <w:r>
              <w:rPr>
                <w:sz w:val="18"/>
                <w:szCs w:val="18"/>
              </w:rPr>
              <w:t xml:space="preserve">GeoPandas, Shapely, PyProj, pyogrio, libpysal, esda</w:t>
            </w:r>
          </w:p>
        </w:tc>
        <w:tc>
          <w:tcPr>
            <w:tcW w:type="dxa" w:w="3089"/>
            <w:tcMar>
              <w:top w:type="dxa" w:w="60"/>
              <w:left w:type="dxa" w:w="108"/>
              <w:bottom w:type="dxa" w:w="60"/>
              <w:right w:type="dxa" w:w="108"/>
            </w:tcMar>
          </w:tcPr>
          <w:p>
            <w:pPr>
              <w:spacing w:after="0" w:line="240"/>
            </w:pPr>
            <w:r>
              <w:rPr>
                <w:sz w:val="18"/>
                <w:szCs w:val="18"/>
              </w:rPr>
              <w:t xml:space="preserve">Spatial analysis and Moran's I</w:t>
            </w:r>
          </w:p>
        </w:tc>
        <w:tc>
          <w:tcPr>
            <w:tcW w:type="dxa" w:w="3089"/>
            <w:tcMar>
              <w:top w:type="dxa" w:w="60"/>
              <w:left w:type="dxa" w:w="108"/>
              <w:bottom w:type="dxa" w:w="60"/>
              <w:right w:type="dxa" w:w="108"/>
            </w:tcMar>
          </w:tcPr>
          <w:p>
            <w:pPr>
              <w:spacing w:after="0" w:line="240"/>
            </w:pPr>
            <w:r>
              <w:rPr>
                <w:sz w:val="18"/>
                <w:szCs w:val="18"/>
              </w:rPr>
              <w:t xml:space="preserve">BSD / MIT</w:t>
            </w:r>
          </w:p>
        </w:tc>
      </w:tr>
      <w:tr>
        <w:trPr>
          <w:tblHeader w:val="off"/>
        </w:trPr>
        <w:tc>
          <w:tcPr>
            <w:tcW w:type="dxa" w:w="3182"/>
            <w:tcMar>
              <w:top w:type="dxa" w:w="60"/>
              <w:left w:type="dxa" w:w="108"/>
              <w:bottom w:type="dxa" w:w="60"/>
              <w:right w:type="dxa" w:w="108"/>
            </w:tcMar>
          </w:tcPr>
          <w:p>
            <w:pPr>
              <w:spacing w:after="0" w:line="240"/>
            </w:pPr>
            <w:r>
              <w:rPr>
                <w:sz w:val="18"/>
                <w:szCs w:val="18"/>
              </w:rPr>
              <w:t xml:space="preserve">Supabase</w:t>
            </w:r>
          </w:p>
        </w:tc>
        <w:tc>
          <w:tcPr>
            <w:tcW w:type="dxa" w:w="3089"/>
            <w:tcMar>
              <w:top w:type="dxa" w:w="60"/>
              <w:left w:type="dxa" w:w="108"/>
              <w:bottom w:type="dxa" w:w="60"/>
              <w:right w:type="dxa" w:w="108"/>
            </w:tcMar>
          </w:tcPr>
          <w:p>
            <w:pPr>
              <w:spacing w:after="0" w:line="240"/>
            </w:pPr>
            <w:r>
              <w:rPr>
                <w:sz w:val="18"/>
                <w:szCs w:val="18"/>
              </w:rPr>
              <w:t xml:space="preserve">Accounts, saved alerts and forms</w:t>
            </w:r>
          </w:p>
        </w:tc>
        <w:tc>
          <w:tcPr>
            <w:tcW w:type="dxa" w:w="3089"/>
            <w:tcMar>
              <w:top w:type="dxa" w:w="60"/>
              <w:left w:type="dxa" w:w="108"/>
              <w:bottom w:type="dxa" w:w="60"/>
              <w:right w:type="dxa" w:w="108"/>
            </w:tcMar>
          </w:tcPr>
          <w:p>
            <w:pPr>
              <w:spacing w:after="0" w:line="240"/>
            </w:pPr>
            <w:r>
              <w:rPr>
                <w:sz w:val="18"/>
                <w:szCs w:val="18"/>
              </w:rPr>
              <w:t xml:space="preserve">Apache 2.0</w:t>
            </w:r>
          </w:p>
        </w:tc>
      </w:tr>
    </w:tbl>
    <w:p>
      <w:pPr>
        <w:spacing w:after="160"/>
      </w:pPr>
    </w:p>
    <w:p>
      <w:pPr>
        <w:pBdr>
          <w:bottom w:val="single" w:color="D8D8D8" w:sz="6"/>
        </w:pBdr>
        <w:spacing w:after="160" w:before="80"/>
      </w:pPr>
    </w:p>
    <w:p>
      <w:pPr>
        <w:pStyle w:val="Heading1"/>
        <w:pBdr>
          <w:bottom w:val="single" w:color="C49A4A" w:sz="8" w:space="6"/>
        </w:pBdr>
        <w:spacing w:after="120" w:before="320"/>
      </w:pPr>
      <w:r>
        <w:rPr>
          <w:b/>
          <w:bCs/>
          <w:color w:val="14213A"/>
          <w:sz w:val="30"/>
          <w:szCs w:val="30"/>
        </w:rPr>
        <w:t xml:space="preserve">4. How to cite NWGS Grid</w:t>
      </w:r>
    </w:p>
    <w:p>
      <w:pPr>
        <w:spacing w:after="120" w:line="276"/>
      </w:pPr>
      <w:r>
        <w:t xml:space="preserve">Use </w:t>
      </w:r>
      <w:r>
        <w:rPr>
          <w:b/>
          <w:bCs/>
        </w:rPr>
        <w:t xml:space="preserve">Cite this repository</w:t>
      </w:r>
      <w:r>
        <w:t xml:space="preserve"> on GitHub, which reads </w:t>
      </w:r>
      <w:r>
        <w:rPr>
          <w:rFonts w:ascii="Consolas" w:cs="Consolas" w:eastAsia="Consolas" w:hAnsi="Consolas"/>
          <w:color w:val="6E1F2B"/>
          <w:sz w:val="18"/>
          <w:szCs w:val="18"/>
        </w:rPr>
        <w:t xml:space="preserve">CITATION.cff</w:t>
      </w:r>
      <w:r>
        <w:t xml:space="preserve">, and name the weekly release your numbers came from. Every figure belongs to one dated run, so a citation without the run identifier cannot be checked later.</w:t>
      </w:r>
    </w:p>
    <w:p>
      <w:pPr>
        <w:pBdr>
          <w:top w:val="single" w:color="D8D8D8" w:sz="4"/>
          <w:left w:val="single" w:color="D8D8D8" w:sz="4"/>
          <w:right w:val="single" w:color="D8D8D8" w:sz="4"/>
        </w:pBdr>
        <w:shd w:fill="F2F0EB" w:val="clear"/>
        <w:spacing w:after="0" w:before="120" w:line="240"/>
        <w:ind w:left="180" w:right="180"/>
      </w:pPr>
      <w:r>
        <w:rPr>
          <w:rFonts w:ascii="Consolas" w:cs="Consolas" w:eastAsia="Consolas" w:hAnsi="Consolas"/>
          <w:color w:val="14213A"/>
          <w:sz w:val="17"/>
          <w:szCs w:val="17"/>
        </w:rPr>
        <w:t xml:space="preserve">Franklin, V. L. (2026). NWGS Grid™: National Wastewater Genomic Surveillance</w:t>
      </w:r>
    </w:p>
    <w:p>
      <w:pPr>
        <w:pBdr>
          <w:left w:val="single" w:color="D8D8D8" w:sz="4"/>
          <w:right w:val="single" w:color="D8D8D8" w:sz="4"/>
        </w:pBdr>
        <w:shd w:fill="F2F0EB" w:val="clear"/>
        <w:spacing w:after="0" w:before="0" w:line="240"/>
        <w:ind w:left="180" w:right="180"/>
      </w:pPr>
      <w:r>
        <w:rPr>
          <w:rFonts w:ascii="Consolas" w:cs="Consolas" w:eastAsia="Consolas" w:hAnsi="Consolas"/>
          <w:color w:val="14213A"/>
          <w:sz w:val="17"/>
          <w:szCs w:val="17"/>
        </w:rPr>
        <w:t xml:space="preserve">Grid [Software and web dashboard]. Release &lt;run_id&gt;.</w:t>
      </w:r>
    </w:p>
    <w:p>
      <w:pPr>
        <w:pBdr>
          <w:left w:val="single" w:color="D8D8D8" w:sz="4"/>
          <w:bottom w:val="single" w:color="D8D8D8" w:sz="4"/>
          <w:right w:val="single" w:color="D8D8D8" w:sz="4"/>
        </w:pBdr>
        <w:shd w:fill="F2F0EB" w:val="clear"/>
        <w:spacing w:after="180" w:before="0" w:line="240"/>
        <w:ind w:left="180" w:right="180"/>
      </w:pPr>
      <w:r>
        <w:rPr>
          <w:rFonts w:ascii="Consolas" w:cs="Consolas" w:eastAsia="Consolas" w:hAnsi="Consolas"/>
          <w:color w:val="14213A"/>
          <w:sz w:val="17"/>
          <w:szCs w:val="17"/>
        </w:rPr>
        <w:t xml:space="preserve">https://nwgsgrid.com</w:t>
      </w:r>
    </w:p>
    <w:p>
      <w:pPr>
        <w:pBdr>
          <w:bottom w:val="single" w:color="D8D8D8" w:sz="6"/>
        </w:pBdr>
        <w:spacing w:after="160" w:before="80"/>
      </w:pPr>
    </w:p>
    <w:p>
      <w:pPr>
        <w:pStyle w:val="Heading1"/>
        <w:pBdr>
          <w:bottom w:val="single" w:color="C49A4A" w:sz="8" w:space="6"/>
        </w:pBdr>
        <w:spacing w:after="120" w:before="320"/>
      </w:pPr>
      <w:r>
        <w:rPr>
          <w:b/>
          <w:bCs/>
          <w:color w:val="14213A"/>
          <w:sz w:val="30"/>
          <w:szCs w:val="30"/>
        </w:rPr>
        <w:t xml:space="preserve">5. Keeping this current</w:t>
      </w:r>
    </w:p>
    <w:p>
      <w:pPr>
        <w:spacing w:after="120" w:line="276"/>
      </w:pPr>
      <w:r>
        <w:t xml:space="preserve">Add a source here in the same change that introduces it, not afterwards. A figure that reaches the site before its citation reaches this file is a figure no reader can check, which is the failure this project exists to avoid.</w:t>
      </w:r>
    </w:p>
    <w:p>
      <w:pPr>
        <w:spacing w:after="120" w:line="276"/>
      </w:pPr>
      <w:r>
        <w:rPr>
          <w:rFonts w:ascii="Consolas" w:cs="Consolas" w:eastAsia="Consolas" w:hAnsi="Consolas"/>
          <w:color w:val="6E1F2B"/>
          <w:sz w:val="18"/>
          <w:szCs w:val="18"/>
        </w:rPr>
        <w:t xml:space="preserve">references.bib</w:t>
      </w:r>
      <w:r>
        <w:t xml:space="preserve"> carries the same literature in BibTeX for manuscript use.</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F6A"/>
        <w:sz w:val="16"/>
        <w:szCs w:val="16"/>
      </w:rPr>
      <w:t xml:space="preserve">NWGS Grid - references and citations    |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20"/>
      </w:pPr>
    </w:lvl>
  </w:abstractNum>
  <w:abstractNum w:abstractNumId="3" w15:restartNumberingAfterBreak="0">
    <w:multiLevelType w:val="hybridMultilevel"/>
    <w:lvl w:ilvl="0" w:tentative="1">
      <w:start w:val="1"/>
      <w:numFmt w:val="decimal"/>
      <w:lvlText w:val="%1."/>
      <w:lvlJc w:val="left"/>
      <w:pPr>
        <w:ind w:left="42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NWGS Grid - references and citations</dc:title>
  <dc:creator>Victoria Love Franklin</dc:creator>
  <dc:description>NWGS Grid - references and citations. Generated from the repository and from a weekly run's export.</dc:description>
  <cp:lastModifiedBy>Victoria Love Franklin</cp:lastModifiedBy>
  <cp:revision>1</cp:revision>
  <dcterms:created xsi:type="dcterms:W3CDTF">2026-10-16T15:57:13.251Z</dcterms:created>
  <dcterms:modified xsi:type="dcterms:W3CDTF">2026-10-16T15:57:13.252Z</dcterms:modified>
</cp:coreProperties>
</file>

<file path=docProps/custom.xml><?xml version="1.0" encoding="utf-8"?>
<Properties xmlns="http://schemas.openxmlformats.org/officeDocument/2006/custom-properties" xmlns:vt="http://schemas.openxmlformats.org/officeDocument/2006/docPropsVTypes"/>
</file>