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8.png" ContentType="image/png"/>
  <Override PartName="/word/media/rId65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32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1.png" ContentType="image/png"/>
  <Override PartName="/word/media/rId125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Система контроля версий Git</w:t>
      </w:r>
    </w:p>
    <w:p>
      <w:pPr>
        <w:pStyle w:val="Author"/>
      </w:pPr>
      <w:r>
        <w:t xml:space="preserve">Мальянц В. К.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применения средств контроля версий.</w:t>
      </w:r>
      <w:r>
        <w:t xml:space="preserve"> </w:t>
      </w:r>
      <w:r>
        <w:t xml:space="preserve">Приобретение практических навыков 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4.1 Настройка github.</w:t>
      </w:r>
      <w:r>
        <w:t xml:space="preserve"> </w:t>
      </w:r>
      <w:r>
        <w:t xml:space="preserve">4.2 Базовая настройка git.</w:t>
      </w:r>
      <w:r>
        <w:t xml:space="preserve"> </w:t>
      </w:r>
      <w:r>
        <w:t xml:space="preserve">4.3 Создание SSH-ключа.</w:t>
      </w:r>
      <w:r>
        <w:t xml:space="preserve"> </w:t>
      </w:r>
      <w:r>
        <w:t xml:space="preserve">4.4 Создание рабочего пространства и репозитория курса на основе шаблона.</w:t>
      </w:r>
      <w:r>
        <w:t xml:space="preserve"> </w:t>
      </w:r>
      <w:r>
        <w:t xml:space="preserve">4.5 Создание репозитория курса на основе шаблона.</w:t>
      </w:r>
      <w:r>
        <w:t xml:space="preserve"> </w:t>
      </w:r>
      <w:r>
        <w:t xml:space="preserve">4.6 Настройка каталога курса.</w:t>
      </w:r>
      <w:r>
        <w:t xml:space="preserve"> </w:t>
      </w:r>
      <w:r>
        <w:t xml:space="preserve">4.7 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</w:t>
      </w:r>
      <w:r>
        <w:t xml:space="preserve"> </w:t>
      </w:r>
      <w:r>
        <w:t xml:space="preserve">при работе нескольких человек над одним проектом. Обычно основное</w:t>
      </w:r>
      <w:r>
        <w:t xml:space="preserve"> </w:t>
      </w:r>
      <w:r>
        <w:t xml:space="preserve">дерево проекта хранится в локальном или удалённом репозитории, к</w:t>
      </w:r>
      <w:r>
        <w:t xml:space="preserve"> </w:t>
      </w:r>
      <w:r>
        <w:t xml:space="preserve">которому настроен доступ для участников проекта. При внесении изменений</w:t>
      </w:r>
      <w:r>
        <w:t xml:space="preserve"> </w:t>
      </w:r>
      <w:r>
        <w:t xml:space="preserve">в 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</w:t>
      </w:r>
      <w:r>
        <w:t xml:space="preserve"> </w:t>
      </w:r>
      <w:r>
        <w:t xml:space="preserve">централизованная модель, предполагающая наличие единого репозитория</w:t>
      </w:r>
      <w:r>
        <w:t xml:space="preserve"> </w:t>
      </w:r>
      <w:r>
        <w:t xml:space="preserve">для хранения файлов. Выполнение большинства функций по управлению</w:t>
      </w:r>
      <w:r>
        <w:t xml:space="preserve"> </w:t>
      </w:r>
      <w:r>
        <w:t xml:space="preserve">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</w:t>
      </w:r>
      <w:r>
        <w:t xml:space="preserve"> </w:t>
      </w:r>
      <w:r>
        <w:t xml:space="preserve">получает нужную ему версию файлов. После внесения изменений,</w:t>
      </w:r>
      <w:r>
        <w:t xml:space="preserve"> </w:t>
      </w:r>
      <w:r>
        <w:t xml:space="preserve">пользователь размещает новую версию в хранилище. При этом предыдущие</w:t>
      </w:r>
      <w:r>
        <w:t xml:space="preserve"> </w:t>
      </w:r>
      <w:r>
        <w:t xml:space="preserve">версии не удаляются из центрального хранилища и к ним можно вернуться в</w:t>
      </w:r>
      <w:r>
        <w:t xml:space="preserve"> </w:t>
      </w:r>
      <w:r>
        <w:t xml:space="preserve">любой момент. Сервер может сохранять не полную версию изменённых</w:t>
      </w:r>
      <w:r>
        <w:t xml:space="preserve"> </w:t>
      </w:r>
      <w:r>
        <w:t xml:space="preserve">файлов, а производить так называемую дельта-компрессию — сохранять</w:t>
      </w:r>
      <w:r>
        <w:t xml:space="preserve"> </w:t>
      </w:r>
      <w:r>
        <w:t xml:space="preserve">только изменения между последовательными версиями, что позволяет</w:t>
      </w:r>
      <w:r>
        <w:t xml:space="preserve"> </w:t>
      </w:r>
      <w:r>
        <w:t xml:space="preserve">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разрешения конфликтов, которые могут возникнуть при работе нескольких</w:t>
      </w:r>
      <w:r>
        <w:t xml:space="preserve"> </w:t>
      </w:r>
      <w:r>
        <w:t xml:space="preserve">человек над одним файлом. Можно объединить (слить) изменения,</w:t>
      </w:r>
      <w:r>
        <w:t xml:space="preserve"> </w:t>
      </w:r>
      <w:r>
        <w:t xml:space="preserve">сделанные разными участниками (автоматически или вручную), вручную</w:t>
      </w:r>
      <w:r>
        <w:t xml:space="preserve"> </w:t>
      </w:r>
      <w:r>
        <w:t xml:space="preserve">выбрать нужную версию, отменить изменения вовсе или заблокировать</w:t>
      </w:r>
      <w:r>
        <w:t xml:space="preserve"> </w:t>
      </w:r>
      <w:r>
        <w:t xml:space="preserve">файлы для изменения. В зависимости от настроек блокировка не позволяет</w:t>
      </w:r>
      <w:r>
        <w:t xml:space="preserve"> </w:t>
      </w:r>
      <w:r>
        <w:t xml:space="preserve">другим пользователям получить рабочую копию или препятствует</w:t>
      </w:r>
      <w:r>
        <w:t xml:space="preserve"> </w:t>
      </w:r>
      <w:r>
        <w:t xml:space="preserve">изменению рабочей копии файла средствами файловой системы ОС,</w:t>
      </w:r>
      <w:r>
        <w:t xml:space="preserve"> </w:t>
      </w:r>
      <w:r>
        <w:t xml:space="preserve">обеспечивая таким образом, привилегированный доступ только одному</w:t>
      </w:r>
      <w:r>
        <w:t xml:space="preserve"> </w:t>
      </w:r>
      <w:r>
        <w:t xml:space="preserve">пользователю, работающему с файлом.</w:t>
      </w:r>
      <w:r>
        <w:t xml:space="preserve"> </w:t>
      </w:r>
      <w:r>
        <w:t xml:space="preserve">7Системы контроля версий также могут обеспечивать дополнительные,</w:t>
      </w:r>
      <w:r>
        <w:t xml:space="preserve"> </w:t>
      </w:r>
      <w:r>
        <w:t xml:space="preserve">более гибкие функциональные возможности. Например, они могут</w:t>
      </w:r>
      <w:r>
        <w:t xml:space="preserve"> </w:t>
      </w:r>
      <w:r>
        <w:t xml:space="preserve">поддерживать работу с несколькими версиями одного файла, сохраняя</w:t>
      </w:r>
      <w:r>
        <w:t xml:space="preserve"> </w:t>
      </w:r>
      <w:r>
        <w:t xml:space="preserve">общую историю изменений до точки ветвления версий и собственные</w:t>
      </w:r>
      <w:r>
        <w:t xml:space="preserve"> </w:t>
      </w:r>
      <w:r>
        <w:t xml:space="preserve">истории изменений каждой ветви. Кроме того, обычно доступна информация</w:t>
      </w:r>
      <w:r>
        <w:t xml:space="preserve"> </w:t>
      </w:r>
      <w:r>
        <w:t xml:space="preserve">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</w:t>
      </w:r>
      <w:r>
        <w:t xml:space="preserve"> </w:t>
      </w:r>
      <w:r>
        <w:t xml:space="preserve">ограничить.</w:t>
      </w:r>
      <w:r>
        <w:t xml:space="preserve"> </w:t>
      </w:r>
      <w:r>
        <w:t xml:space="preserve">В отличие от классических, в распределённых системах контроля</w:t>
      </w:r>
      <w:r>
        <w:t xml:space="preserve"> </w:t>
      </w:r>
      <w:r>
        <w:t xml:space="preserve">версий центральный 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</w:p>
    <w:bookmarkEnd w:id="22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Создала учетную запись на сайте https://github.com/ и заполнила свои данные (рис.1).</w:t>
      </w:r>
    </w:p>
    <w:bookmarkStart w:id="26" w:name="fig:001"/>
    <w:p>
      <w:pPr>
        <w:pStyle w:val="CaptionedFigure"/>
      </w:pPr>
      <w:r>
        <w:drawing>
          <wp:inline>
            <wp:extent cx="3733800" cy="4735551"/>
            <wp:effectExtent b="0" l="0" r="0" t="0"/>
            <wp:docPr descr="Рис. 1: Создание уче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4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5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учетной записи на github</w:t>
      </w:r>
    </w:p>
    <w:bookmarkEnd w:id="26"/>
    <w:bookmarkEnd w:id="27"/>
    <w:bookmarkStart w:id="52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Открываю терминал и делаю предварительную конфигурацию git. Ввожу команды:</w:t>
      </w:r>
      <w:r>
        <w:t xml:space="preserve"> </w:t>
      </w:r>
      <w:r>
        <w:t xml:space="preserve">git config –global user.name “” и указываю в ней имя владельца репозитория (свое</w:t>
      </w:r>
      <w:r>
        <w:t xml:space="preserve"> </w:t>
      </w:r>
      <w:r>
        <w:t xml:space="preserve">имя), git config –global user.email “” и указываю в ней почту владельца репозитория</w:t>
      </w:r>
      <w:r>
        <w:t xml:space="preserve"> </w:t>
      </w:r>
      <w:r>
        <w:t xml:space="preserve">(свою почту) (рис. 2) (рис. 3).</w:t>
      </w:r>
    </w:p>
    <w:bookmarkStart w:id="31" w:name="fig:002"/>
    <w:p>
      <w:pPr>
        <w:pStyle w:val="CaptionedFigure"/>
      </w:pPr>
      <w:r>
        <w:drawing>
          <wp:inline>
            <wp:extent cx="3733800" cy="111062"/>
            <wp:effectExtent b="0" l="0" r="0" t="0"/>
            <wp:docPr descr="Рис. 2: Предварительная конфигурация git (имя владельца репозитория)" title="" id="29" name="Picture"/>
            <a:graphic>
              <a:graphicData uri="http://schemas.openxmlformats.org/drawingml/2006/picture">
                <pic:pic>
                  <pic:nvPicPr>
                    <pic:cNvPr descr="image/p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Предварительная конфигурация git (имя владельца репозитория)</w:t>
      </w:r>
    </w:p>
    <w:bookmarkEnd w:id="31"/>
    <w:bookmarkStart w:id="35" w:name="fig:003"/>
    <w:p>
      <w:pPr>
        <w:pStyle w:val="CaptionedFigure"/>
      </w:pPr>
      <w:r>
        <w:drawing>
          <wp:inline>
            <wp:extent cx="3733800" cy="115033"/>
            <wp:effectExtent b="0" l="0" r="0" t="0"/>
            <wp:docPr descr="Рис. 3: Предварительная конфигурация git (почта владельца репозитория)" title="" id="33" name="Picture"/>
            <a:graphic>
              <a:graphicData uri="http://schemas.openxmlformats.org/drawingml/2006/picture">
                <pic:pic>
                  <pic:nvPicPr>
                    <pic:cNvPr descr="image/p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Предварительная конфигурация git (почта владельца репозитория)</w:t>
      </w:r>
    </w:p>
    <w:bookmarkEnd w:id="35"/>
    <w:p>
      <w:pPr>
        <w:pStyle w:val="BodyText"/>
      </w:pPr>
      <w:r>
        <w:t xml:space="preserve">Настраиваю utf-8 в выводе сообщений git (рис. 4).</w:t>
      </w:r>
    </w:p>
    <w:bookmarkStart w:id="39" w:name="fig:004"/>
    <w:p>
      <w:pPr>
        <w:pStyle w:val="CaptionedFigure"/>
      </w:pPr>
      <w:r>
        <w:drawing>
          <wp:inline>
            <wp:extent cx="3733800" cy="96480"/>
            <wp:effectExtent b="0" l="0" r="0" t="0"/>
            <wp:docPr descr="Рис. 4: Настройка кодировки" title="" id="37" name="Picture"/>
            <a:graphic>
              <a:graphicData uri="http://schemas.openxmlformats.org/drawingml/2006/picture">
                <pic:pic>
                  <pic:nvPicPr>
                    <pic:cNvPr descr="image/p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кодировки</w:t>
      </w:r>
    </w:p>
    <w:bookmarkEnd w:id="39"/>
    <w:p>
      <w:pPr>
        <w:pStyle w:val="BodyText"/>
      </w:pPr>
      <w:r>
        <w:t xml:space="preserve">Задаю имя начальной ветки, называю ее master (рис. 5).</w:t>
      </w:r>
    </w:p>
    <w:bookmarkStart w:id="43" w:name="fig:005"/>
    <w:p>
      <w:pPr>
        <w:pStyle w:val="CaptionedFigure"/>
      </w:pPr>
      <w:r>
        <w:drawing>
          <wp:inline>
            <wp:extent cx="3733800" cy="101304"/>
            <wp:effectExtent b="0" l="0" r="0" t="0"/>
            <wp:docPr descr="Рис. 5: Создание имени начальной ветки" title="" id="41" name="Picture"/>
            <a:graphic>
              <a:graphicData uri="http://schemas.openxmlformats.org/drawingml/2006/picture">
                <pic:pic>
                  <pic:nvPicPr>
                    <pic:cNvPr descr="image/p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имени начальной ветки</w:t>
      </w:r>
    </w:p>
    <w:bookmarkEnd w:id="43"/>
    <w:p>
      <w:pPr>
        <w:pStyle w:val="BodyText"/>
      </w:pPr>
      <w:r>
        <w:t xml:space="preserve">Параметр autocrlf (рис. 6).</w:t>
      </w:r>
    </w:p>
    <w:bookmarkStart w:id="47" w:name="fig:006"/>
    <w:p>
      <w:pPr>
        <w:pStyle w:val="CaptionedFigure"/>
      </w:pPr>
      <w:r>
        <w:drawing>
          <wp:inline>
            <wp:extent cx="3733800" cy="96108"/>
            <wp:effectExtent b="0" l="0" r="0" t="0"/>
            <wp:docPr descr="Рис. 6: Параметр autocrlf" title="" id="45" name="Picture"/>
            <a:graphic>
              <a:graphicData uri="http://schemas.openxmlformats.org/drawingml/2006/picture">
                <pic:pic>
                  <pic:nvPicPr>
                    <pic:cNvPr descr="image/p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 autocrlf</w:t>
      </w:r>
    </w:p>
    <w:bookmarkEnd w:id="47"/>
    <w:p>
      <w:pPr>
        <w:pStyle w:val="BodyText"/>
      </w:pPr>
      <w:r>
        <w:t xml:space="preserve">Параметр safecrlf (рис. 7).</w:t>
      </w:r>
    </w:p>
    <w:bookmarkStart w:id="51" w:name="fig:007"/>
    <w:p>
      <w:pPr>
        <w:pStyle w:val="CaptionedFigure"/>
      </w:pPr>
      <w:r>
        <w:drawing>
          <wp:inline>
            <wp:extent cx="3733800" cy="91775"/>
            <wp:effectExtent b="0" l="0" r="0" t="0"/>
            <wp:docPr descr="Рис. 7: Параметр safecrlf" title="" id="49" name="Picture"/>
            <a:graphic>
              <a:graphicData uri="http://schemas.openxmlformats.org/drawingml/2006/picture">
                <pic:pic>
                  <pic:nvPicPr>
                    <pic:cNvPr descr="image/p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safecrlf</w:t>
      </w:r>
    </w:p>
    <w:bookmarkEnd w:id="51"/>
    <w:bookmarkEnd w:id="52"/>
    <w:bookmarkStart w:id="69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Генерирую пару ключей для идентификации пользователя на сервере репозиториев</w:t>
      </w:r>
      <w:r>
        <w:t xml:space="preserve"> </w:t>
      </w:r>
      <w:r>
        <w:t xml:space="preserve">(рис. 8).</w:t>
      </w:r>
    </w:p>
    <w:bookmarkStart w:id="56" w:name="fig:008"/>
    <w:p>
      <w:pPr>
        <w:pStyle w:val="CaptionedFigure"/>
      </w:pPr>
      <w:r>
        <w:drawing>
          <wp:inline>
            <wp:extent cx="3733800" cy="1927435"/>
            <wp:effectExtent b="0" l="0" r="0" t="0"/>
            <wp:docPr descr="Рис. 8: Генерация SSH-ключа" title="" id="54" name="Picture"/>
            <a:graphic>
              <a:graphicData uri="http://schemas.openxmlformats.org/drawingml/2006/picture">
                <pic:pic>
                  <pic:nvPicPr>
                    <pic:cNvPr descr="image/p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Генерация SSH-ключа</w:t>
      </w:r>
    </w:p>
    <w:bookmarkEnd w:id="56"/>
    <w:p>
      <w:pPr>
        <w:pStyle w:val="BodyText"/>
      </w:pPr>
      <w:r>
        <w:t xml:space="preserve">Вывожу содержимое файла с открытым ключом с помощью команды cat (рис. 9).</w:t>
      </w:r>
    </w:p>
    <w:bookmarkStart w:id="60" w:name="fig:009"/>
    <w:p>
      <w:pPr>
        <w:pStyle w:val="CaptionedFigure"/>
      </w:pPr>
      <w:r>
        <w:drawing>
          <wp:inline>
            <wp:extent cx="3733800" cy="256668"/>
            <wp:effectExtent b="0" l="0" r="0" t="0"/>
            <wp:docPr descr="Рис. 9: Вывод содержимого файла с открытым ключом" title="" id="58" name="Picture"/>
            <a:graphic>
              <a:graphicData uri="http://schemas.openxmlformats.org/drawingml/2006/picture">
                <pic:pic>
                  <pic:nvPicPr>
                    <pic:cNvPr descr="image/p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 содержимого файла с открытым ключом</w:t>
      </w:r>
    </w:p>
    <w:bookmarkEnd w:id="60"/>
    <w:p>
      <w:pPr>
        <w:pStyle w:val="BodyText"/>
      </w:pPr>
      <w:r>
        <w:t xml:space="preserve">Вставляю ключ в окно New SSH key, указываю имя ключа (рис. 10).</w:t>
      </w:r>
    </w:p>
    <w:bookmarkStart w:id="64" w:name="fig:010"/>
    <w:p>
      <w:pPr>
        <w:pStyle w:val="CaptionedFigure"/>
      </w:pPr>
      <w:r>
        <w:drawing>
          <wp:inline>
            <wp:extent cx="3733800" cy="2163028"/>
            <wp:effectExtent b="0" l="0" r="0" t="0"/>
            <wp:docPr descr="Рис. 10: Добавление ключа" title="" id="62" name="Picture"/>
            <a:graphic>
              <a:graphicData uri="http://schemas.openxmlformats.org/drawingml/2006/picture">
                <pic:pic>
                  <pic:nvPicPr>
                    <pic:cNvPr descr="image/p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ключа</w:t>
      </w:r>
    </w:p>
    <w:bookmarkEnd w:id="64"/>
    <w:p>
      <w:pPr>
        <w:pStyle w:val="BodyText"/>
      </w:pPr>
      <w:r>
        <w:t xml:space="preserve">Убеждаюсь в том, что SSH key создан (рис. 11).</w:t>
      </w:r>
    </w:p>
    <w:bookmarkStart w:id="68" w:name="fig:011"/>
    <w:p>
      <w:pPr>
        <w:pStyle w:val="CaptionedFigure"/>
      </w:pPr>
      <w:r>
        <w:drawing>
          <wp:inline>
            <wp:extent cx="3733800" cy="2096813"/>
            <wp:effectExtent b="0" l="0" r="0" t="0"/>
            <wp:docPr descr="Рис. 11: Созданный SSH-ключ" title="" id="66" name="Picture"/>
            <a:graphic>
              <a:graphicData uri="http://schemas.openxmlformats.org/drawingml/2006/picture">
                <pic:pic>
                  <pic:nvPicPr>
                    <pic:cNvPr descr="image/p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Созданный SSH-ключ</w:t>
      </w:r>
    </w:p>
    <w:bookmarkEnd w:id="68"/>
    <w:bookmarkEnd w:id="69"/>
    <w:bookmarkStart w:id="74" w:name="X4449f07c87c6f9841050c35966669573c14a93f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Создаю каталог для предмета «Архитектура компьютера» с помощью mkdir -p (рис. 12).</w:t>
      </w:r>
    </w:p>
    <w:bookmarkStart w:id="73" w:name="fig:012"/>
    <w:p>
      <w:pPr>
        <w:pStyle w:val="CaptionedFigure"/>
      </w:pPr>
      <w:r>
        <w:drawing>
          <wp:inline>
            <wp:extent cx="3733800" cy="82649"/>
            <wp:effectExtent b="0" l="0" r="0" t="0"/>
            <wp:docPr descr="Рис. 12: Создание рабочего пространства" title="" id="71" name="Picture"/>
            <a:graphic>
              <a:graphicData uri="http://schemas.openxmlformats.org/drawingml/2006/picture">
                <pic:pic>
                  <pic:nvPicPr>
                    <pic:cNvPr descr="image/p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рабочего пространства</w:t>
      </w:r>
    </w:p>
    <w:bookmarkEnd w:id="73"/>
    <w:bookmarkEnd w:id="74"/>
    <w:bookmarkStart w:id="95" w:name="X358c05152c0b5375b00f51c960276c4e3312ee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Перехожу на страницу репозитория с шаблоном курса</w:t>
      </w:r>
      <w:r>
        <w:t xml:space="preserve"> </w:t>
      </w:r>
      <w:r>
        <w:t xml:space="preserve">https://github.com/yamadharma/course-directory-student-template. Задаю имя</w:t>
      </w:r>
      <w:r>
        <w:t xml:space="preserve"> </w:t>
      </w:r>
      <w:r>
        <w:t xml:space="preserve">репозитория и создаю его (рис. 13) (рис. 14).</w:t>
      </w:r>
    </w:p>
    <w:bookmarkStart w:id="78" w:name="fig:013"/>
    <w:p>
      <w:pPr>
        <w:pStyle w:val="CaptionedFigure"/>
      </w:pPr>
      <w:r>
        <w:drawing>
          <wp:inline>
            <wp:extent cx="3733800" cy="3847101"/>
            <wp:effectExtent b="0" l="0" r="0" t="0"/>
            <wp:docPr descr="Рис. 13: Создание репозитория" title="" id="76" name="Picture"/>
            <a:graphic>
              <a:graphicData uri="http://schemas.openxmlformats.org/drawingml/2006/picture">
                <pic:pic>
                  <pic:nvPicPr>
                    <pic:cNvPr descr="image/p1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репозитория</w:t>
      </w:r>
    </w:p>
    <w:bookmarkEnd w:id="78"/>
    <w:bookmarkStart w:id="82" w:name="fig:014"/>
    <w:p>
      <w:pPr>
        <w:pStyle w:val="CaptionedFigure"/>
      </w:pPr>
      <w:r>
        <w:drawing>
          <wp:inline>
            <wp:extent cx="3733800" cy="2730798"/>
            <wp:effectExtent b="0" l="0" r="0" t="0"/>
            <wp:docPr descr="Рис. 14: Созданный репозиторий" title="" id="80" name="Picture"/>
            <a:graphic>
              <a:graphicData uri="http://schemas.openxmlformats.org/drawingml/2006/picture">
                <pic:pic>
                  <pic:nvPicPr>
                    <pic:cNvPr descr="image/p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Созданный репозиторий</w:t>
      </w:r>
    </w:p>
    <w:bookmarkEnd w:id="82"/>
    <w:p>
      <w:pPr>
        <w:pStyle w:val="BodyText"/>
      </w:pPr>
      <w:r>
        <w:t xml:space="preserve">Перехожу в каталог курса с помощью команды cd (рис. 15).</w:t>
      </w:r>
    </w:p>
    <w:bookmarkStart w:id="86" w:name="fig:015"/>
    <w:p>
      <w:pPr>
        <w:pStyle w:val="CaptionedFigure"/>
      </w:pPr>
      <w:r>
        <w:drawing>
          <wp:inline>
            <wp:extent cx="3733800" cy="86832"/>
            <wp:effectExtent b="0" l="0" r="0" t="0"/>
            <wp:docPr descr="Рис. 15: Переход в каталог курса" title="" id="84" name="Picture"/>
            <a:graphic>
              <a:graphicData uri="http://schemas.openxmlformats.org/drawingml/2006/picture">
                <pic:pic>
                  <pic:nvPicPr>
                    <pic:cNvPr descr="image/p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каталог курса</w:t>
      </w:r>
    </w:p>
    <w:bookmarkEnd w:id="86"/>
    <w:p>
      <w:pPr>
        <w:pStyle w:val="BodyText"/>
      </w:pPr>
      <w:r>
        <w:t xml:space="preserve">Клонирую созданный репозиторий (рис. 16).</w:t>
      </w:r>
    </w:p>
    <w:bookmarkStart w:id="90" w:name="fig:016"/>
    <w:p>
      <w:pPr>
        <w:pStyle w:val="CaptionedFigure"/>
      </w:pPr>
      <w:r>
        <w:drawing>
          <wp:inline>
            <wp:extent cx="3733800" cy="3125972"/>
            <wp:effectExtent b="0" l="0" r="0" t="0"/>
            <wp:docPr descr="Рис. 16: Клонирование репозитория" title="" id="88" name="Picture"/>
            <a:graphic>
              <a:graphicData uri="http://schemas.openxmlformats.org/drawingml/2006/picture">
                <pic:pic>
                  <pic:nvPicPr>
                    <pic:cNvPr descr="image/p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Клонирование репозитория</w:t>
      </w:r>
    </w:p>
    <w:bookmarkEnd w:id="90"/>
    <w:p>
      <w:pPr>
        <w:pStyle w:val="BodyText"/>
      </w:pPr>
      <w:r>
        <w:t xml:space="preserve">Ссылку для клонирования копирую на странице созданного репозитория (рис. 17).</w:t>
      </w:r>
    </w:p>
    <w:bookmarkStart w:id="94" w:name="fig:017"/>
    <w:p>
      <w:pPr>
        <w:pStyle w:val="CaptionedFigure"/>
      </w:pPr>
      <w:r>
        <w:drawing>
          <wp:inline>
            <wp:extent cx="3733800" cy="2916450"/>
            <wp:effectExtent b="0" l="0" r="0" t="0"/>
            <wp:docPr descr="Рис. 17: Ссылка для копирования репозитория" title="" id="92" name="Picture"/>
            <a:graphic>
              <a:graphicData uri="http://schemas.openxmlformats.org/drawingml/2006/picture">
                <pic:pic>
                  <pic:nvPicPr>
                    <pic:cNvPr descr="image/p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Ссылка для копирования репозитория</w:t>
      </w:r>
    </w:p>
    <w:bookmarkEnd w:id="94"/>
    <w:bookmarkEnd w:id="95"/>
    <w:bookmarkStart w:id="120" w:name="настройка-каталога-курса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(рис. 18).</w:t>
      </w:r>
    </w:p>
    <w:bookmarkStart w:id="99" w:name="fig:018"/>
    <w:p>
      <w:pPr>
        <w:pStyle w:val="CaptionedFigure"/>
      </w:pPr>
      <w:r>
        <w:drawing>
          <wp:inline>
            <wp:extent cx="3733800" cy="188869"/>
            <wp:effectExtent b="0" l="0" r="0" t="0"/>
            <wp:docPr descr="Рис. 18: Перемещение в каталог курса" title="" id="97" name="Picture"/>
            <a:graphic>
              <a:graphicData uri="http://schemas.openxmlformats.org/drawingml/2006/picture">
                <pic:pic>
                  <pic:nvPicPr>
                    <pic:cNvPr descr="image/p1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Перемещение в каталог курса</w:t>
      </w:r>
    </w:p>
    <w:bookmarkEnd w:id="99"/>
    <w:p>
      <w:pPr>
        <w:pStyle w:val="BodyText"/>
      </w:pPr>
      <w:r>
        <w:t xml:space="preserve">Удаляю лишние файлы (рис. 19).</w:t>
      </w:r>
    </w:p>
    <w:bookmarkStart w:id="103" w:name="fig:019"/>
    <w:p>
      <w:pPr>
        <w:pStyle w:val="CaptionedFigure"/>
      </w:pPr>
      <w:r>
        <w:drawing>
          <wp:inline>
            <wp:extent cx="3733800" cy="87170"/>
            <wp:effectExtent b="0" l="0" r="0" t="0"/>
            <wp:docPr descr="Рис. 19: Удаление файлов" title="" id="101" name="Picture"/>
            <a:graphic>
              <a:graphicData uri="http://schemas.openxmlformats.org/drawingml/2006/picture">
                <pic:pic>
                  <pic:nvPicPr>
                    <pic:cNvPr descr="image/p1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файлов</w:t>
      </w:r>
    </w:p>
    <w:bookmarkEnd w:id="103"/>
    <w:p>
      <w:pPr>
        <w:pStyle w:val="BodyText"/>
      </w:pPr>
      <w:r>
        <w:t xml:space="preserve">Создаю необходимые каталоги (рис. 20).</w:t>
      </w:r>
    </w:p>
    <w:bookmarkStart w:id="107" w:name="fig:020"/>
    <w:p>
      <w:pPr>
        <w:pStyle w:val="CaptionedFigure"/>
      </w:pPr>
      <w:r>
        <w:drawing>
          <wp:inline>
            <wp:extent cx="3733800" cy="271196"/>
            <wp:effectExtent b="0" l="0" r="0" t="0"/>
            <wp:docPr descr="Рис. 20: Создание каталогов" title="" id="105" name="Picture"/>
            <a:graphic>
              <a:graphicData uri="http://schemas.openxmlformats.org/drawingml/2006/picture">
                <pic:pic>
                  <pic:nvPicPr>
                    <pic:cNvPr descr="image/p1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каталогов</w:t>
      </w:r>
    </w:p>
    <w:bookmarkEnd w:id="107"/>
    <w:p>
      <w:pPr>
        <w:pStyle w:val="BodyText"/>
      </w:pPr>
      <w:r>
        <w:t xml:space="preserve">Отправляю файлы на сервер (рис. 21) (рис. 22).</w:t>
      </w:r>
    </w:p>
    <w:bookmarkStart w:id="111" w:name="fig:021"/>
    <w:p>
      <w:pPr>
        <w:pStyle w:val="CaptionedFigure"/>
      </w:pPr>
      <w:r>
        <w:drawing>
          <wp:inline>
            <wp:extent cx="3733800" cy="2708455"/>
            <wp:effectExtent b="0" l="0" r="0" t="0"/>
            <wp:docPr descr="Рис. 21: Добавление и сохранение изменений на сервере" title="" id="109" name="Picture"/>
            <a:graphic>
              <a:graphicData uri="http://schemas.openxmlformats.org/drawingml/2006/picture">
                <pic:pic>
                  <pic:nvPicPr>
                    <pic:cNvPr descr="image/p2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Добавление и сохранение изменений на сервере</w:t>
      </w:r>
    </w:p>
    <w:bookmarkEnd w:id="111"/>
    <w:bookmarkStart w:id="115" w:name="fig:022"/>
    <w:p>
      <w:pPr>
        <w:pStyle w:val="CaptionedFigure"/>
      </w:pPr>
      <w:r>
        <w:drawing>
          <wp:inline>
            <wp:extent cx="3733800" cy="794219"/>
            <wp:effectExtent b="0" l="0" r="0" t="0"/>
            <wp:docPr descr="Рис. 22: Выгрузка изменений на сервер" title="" id="113" name="Picture"/>
            <a:graphic>
              <a:graphicData uri="http://schemas.openxmlformats.org/drawingml/2006/picture">
                <pic:pic>
                  <pic:nvPicPr>
                    <pic:cNvPr descr="image/p2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4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Выгрузка изменений на сервер</w:t>
      </w:r>
    </w:p>
    <w:bookmarkEnd w:id="115"/>
    <w:p>
      <w:pPr>
        <w:pStyle w:val="BodyText"/>
      </w:pPr>
      <w:r>
        <w:t xml:space="preserve">Убеждаюсь в правильности создания иерархии рабочего пространства (рис. 23).</w:t>
      </w:r>
    </w:p>
    <w:bookmarkStart w:id="119" w:name="fig:023"/>
    <w:p>
      <w:pPr>
        <w:pStyle w:val="CaptionedFigure"/>
      </w:pPr>
      <w:r>
        <w:drawing>
          <wp:inline>
            <wp:extent cx="3733800" cy="2630162"/>
            <wp:effectExtent b="0" l="0" r="0" t="0"/>
            <wp:docPr descr="Рис. 23: Репозиторий" title="" id="117" name="Picture"/>
            <a:graphic>
              <a:graphicData uri="http://schemas.openxmlformats.org/drawingml/2006/picture">
                <pic:pic>
                  <pic:nvPicPr>
                    <pic:cNvPr descr="image/p2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Репозиторий</w:t>
      </w:r>
    </w:p>
    <w:bookmarkEnd w:id="119"/>
    <w:bookmarkEnd w:id="120"/>
    <w:bookmarkStart w:id="129" w:name="Xc580564ccf8ed57da1b7f0e682c79e0b21fe1d9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Выполнение заданий для самостоятельной работы (рис. 24) (рис. 25)</w:t>
      </w:r>
    </w:p>
    <w:bookmarkStart w:id="124" w:name="fig:024"/>
    <w:p>
      <w:pPr>
        <w:pStyle w:val="CaptionedFigure"/>
      </w:pPr>
      <w:r>
        <w:drawing>
          <wp:inline>
            <wp:extent cx="3733800" cy="1697436"/>
            <wp:effectExtent b="0" l="0" r="0" t="0"/>
            <wp:docPr descr="Рис. 24: Добавление отчета по Лабораторной работе № 1" title="" id="122" name="Picture"/>
            <a:graphic>
              <a:graphicData uri="http://schemas.openxmlformats.org/drawingml/2006/picture">
                <pic:pic>
                  <pic:nvPicPr>
                    <pic:cNvPr descr="image/p2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Добавление отчета по Лабораторной работе № 1</w:t>
      </w:r>
    </w:p>
    <w:bookmarkEnd w:id="124"/>
    <w:bookmarkStart w:id="128" w:name="fig:025"/>
    <w:p>
      <w:pPr>
        <w:pStyle w:val="CaptionedFigure"/>
      </w:pPr>
      <w:r>
        <w:drawing>
          <wp:inline>
            <wp:extent cx="3733800" cy="2126515"/>
            <wp:effectExtent b="0" l="0" r="0" t="0"/>
            <wp:docPr descr="Рис. 25: Добавление отчета по лабораторной работе № 2" title="" id="126" name="Picture"/>
            <a:graphic>
              <a:graphicData uri="http://schemas.openxmlformats.org/drawingml/2006/picture">
                <pic:pic>
                  <pic:nvPicPr>
                    <pic:cNvPr descr="image/p2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отчета по лабораторной работе № 2</w:t>
      </w:r>
    </w:p>
    <w:bookmarkEnd w:id="128"/>
    <w:bookmarkEnd w:id="129"/>
    <w:bookmarkEnd w:id="130"/>
    <w:bookmarkStart w:id="131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изучила идеологию и применение средств контроля версий и</w:t>
      </w:r>
      <w:r>
        <w:t xml:space="preserve"> </w:t>
      </w:r>
      <w:r>
        <w:t xml:space="preserve">приобрела практические навыки по работе с системой git.</w:t>
      </w:r>
    </w:p>
    <w:bookmarkEnd w:id="131"/>
    <w:bookmarkStart w:id="13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1"/>
        </w:numPr>
      </w:pPr>
      <w:r>
        <w:t xml:space="preserve">GDB: The GNU Project Debugger. — URL:</w:t>
      </w:r>
      <w:r>
        <w:t xml:space="preserve"> </w:t>
      </w:r>
      <w:r>
        <w:t xml:space="preserve">https://www.gnu.org/software/gdb/.</w:t>
      </w:r>
    </w:p>
    <w:p>
      <w:pPr>
        <w:pStyle w:val="Compact"/>
        <w:numPr>
          <w:ilvl w:val="0"/>
          <w:numId w:val="1001"/>
        </w:numPr>
      </w:pPr>
      <w:r>
        <w:t xml:space="preserve">GNU Bash Manual. — 2016. — URL:</w:t>
      </w:r>
      <w:r>
        <w:t xml:space="preserve"> </w:t>
      </w:r>
      <w:r>
        <w:t xml:space="preserve">https://www.gnu.org/software/bash/manual/.</w:t>
      </w:r>
    </w:p>
    <w:p>
      <w:pPr>
        <w:pStyle w:val="Compact"/>
        <w:numPr>
          <w:ilvl w:val="0"/>
          <w:numId w:val="1001"/>
        </w:numPr>
      </w:pPr>
      <w:r>
        <w:t xml:space="preserve">Midnight Commander Development Center. — 2021. — URL:</w:t>
      </w:r>
      <w:r>
        <w:t xml:space="preserve"> </w:t>
      </w:r>
      <w:r>
        <w:t xml:space="preserve">https://midnight-commander. org/.</w:t>
      </w:r>
    </w:p>
    <w:p>
      <w:pPr>
        <w:pStyle w:val="Compact"/>
        <w:numPr>
          <w:ilvl w:val="0"/>
          <w:numId w:val="1001"/>
        </w:numPr>
      </w:pPr>
      <w:r>
        <w:t xml:space="preserve">NASM Assembly Language Tutorials. — 2021. — URL:</w:t>
      </w:r>
      <w:r>
        <w:t xml:space="preserve"> </w:t>
      </w:r>
      <w:r>
        <w:t xml:space="preserve">https://asmtutor.com/.</w:t>
      </w:r>
    </w:p>
    <w:p>
      <w:pPr>
        <w:pStyle w:val="Compact"/>
        <w:numPr>
          <w:ilvl w:val="0"/>
          <w:numId w:val="1001"/>
        </w:numPr>
      </w:pPr>
      <w:r>
        <w:t xml:space="preserve">Newham C. Learning the bash Shell: Unix Shell Programming. —</w:t>
      </w:r>
      <w:r>
        <w:t xml:space="preserve"> </w:t>
      </w:r>
      <w:r>
        <w:t xml:space="preserve">O’Reilly Media, 2005. — 354 с. — (In a Nutshell). — ISBN 0596009658. —</w:t>
      </w:r>
      <w:r>
        <w:t xml:space="preserve"> </w:t>
      </w:r>
      <w:r>
        <w:t xml:space="preserve">URL: http://www.amazon.com/Learningbash-Shell-Programming-</w:t>
      </w:r>
      <w:r>
        <w:t xml:space="preserve"> </w:t>
      </w:r>
      <w:r>
        <w:t xml:space="preserve">Nutshell/dp/0596009658.</w:t>
      </w:r>
    </w:p>
    <w:p>
      <w:pPr>
        <w:pStyle w:val="Compact"/>
        <w:numPr>
          <w:ilvl w:val="0"/>
          <w:numId w:val="1001"/>
        </w:numPr>
      </w:pPr>
      <w:r>
        <w:t xml:space="preserve">Robbins A. Bash Pocket Reference. — O’Reilly Media, 2016. — 156 с.</w:t>
      </w:r>
      <w:r>
        <w:t xml:space="preserve"> </w:t>
      </w:r>
      <w:r>
        <w:t xml:space="preserve">— ISBN 978-1491941591.</w:t>
      </w:r>
    </w:p>
    <w:p>
      <w:pPr>
        <w:pStyle w:val="Compact"/>
        <w:numPr>
          <w:ilvl w:val="0"/>
          <w:numId w:val="1001"/>
        </w:numPr>
      </w:pPr>
      <w:r>
        <w:t xml:space="preserve">The NASM documentation. — 2021. — URL:</w:t>
      </w:r>
      <w:r>
        <w:t xml:space="preserve"> </w:t>
      </w:r>
      <w:r>
        <w:t xml:space="preserve">https://www.nasm.us/docs.php.</w:t>
      </w:r>
    </w:p>
    <w:p>
      <w:pPr>
        <w:pStyle w:val="Compact"/>
        <w:numPr>
          <w:ilvl w:val="0"/>
          <w:numId w:val="1001"/>
        </w:numPr>
      </w:pPr>
      <w:r>
        <w:t xml:space="preserve">Zarrelli G. Mastering Bash. — Packt Publishing, 2017. — 502 с. —</w:t>
      </w:r>
      <w:r>
        <w:t xml:space="preserve"> </w:t>
      </w:r>
      <w:r>
        <w:t xml:space="preserve">ISBN 9781784396879.</w:t>
      </w:r>
    </w:p>
    <w:p>
      <w:pPr>
        <w:pStyle w:val="Compact"/>
        <w:numPr>
          <w:ilvl w:val="0"/>
          <w:numId w:val="1001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1"/>
        </w:numPr>
      </w:pPr>
      <w:r>
        <w:t xml:space="preserve">Куляс О. Л., Никитин К. А. Курс программирования на</w:t>
      </w:r>
      <w:r>
        <w:t xml:space="preserve"> </w:t>
      </w:r>
      <w:r>
        <w:t xml:space="preserve">ASSEMBLER. — М. : Солон-Пресс, 2017.</w:t>
      </w:r>
    </w:p>
    <w:p>
      <w:pPr>
        <w:pStyle w:val="Compact"/>
        <w:numPr>
          <w:ilvl w:val="0"/>
          <w:numId w:val="1001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1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pStyle w:val="Compact"/>
        <w:numPr>
          <w:ilvl w:val="0"/>
          <w:numId w:val="1001"/>
        </w:numPr>
      </w:pPr>
      <w:r>
        <w:t xml:space="preserve">Робачевский А., Немнюгин С., Стесик О. Операционная система</w:t>
      </w:r>
      <w:r>
        <w:t xml:space="preserve"> </w:t>
      </w:r>
      <w:r>
        <w:t xml:space="preserve">UNIX. — 2-е изд. — БХВПетербург, 2010. — 656 с. — ISBN 978-5-94157-</w:t>
      </w:r>
      <w:r>
        <w:t xml:space="preserve"> </w:t>
      </w:r>
      <w:r>
        <w:t xml:space="preserve">538-1.</w:t>
      </w:r>
    </w:p>
    <w:p>
      <w:pPr>
        <w:pStyle w:val="Compact"/>
        <w:numPr>
          <w:ilvl w:val="0"/>
          <w:numId w:val="1001"/>
        </w:numPr>
      </w:pPr>
      <w:r>
        <w:t xml:space="preserve">Столяров А. Программирование на языке ассемблера NASM для</w:t>
      </w:r>
      <w:r>
        <w:t xml:space="preserve"> </w:t>
      </w:r>
      <w:r>
        <w:t xml:space="preserve">ОС Unix. — 2-е изд. — М. : МАКС Пресс, 2011. — URL:</w:t>
      </w:r>
      <w:r>
        <w:t xml:space="preserve"> </w:t>
      </w:r>
      <w:r>
        <w:t xml:space="preserve">http://www.stolyarov.info/books/asm_unix.</w:t>
      </w:r>
    </w:p>
    <w:p>
      <w:pPr>
        <w:pStyle w:val="Compact"/>
        <w:numPr>
          <w:ilvl w:val="0"/>
          <w:numId w:val="1001"/>
        </w:numPr>
      </w:pPr>
      <w:r>
        <w:t xml:space="preserve">Таненбаум Э. Архитектура компьютера. — 6-е изд. — СПб. :</w:t>
      </w:r>
      <w:r>
        <w:t xml:space="preserve"> </w:t>
      </w:r>
      <w:r>
        <w:t xml:space="preserve">Питер, 2013. — 874 с. — (Классика Computer Science).</w:t>
      </w:r>
    </w:p>
    <w:p>
      <w:pPr>
        <w:pStyle w:val="Compact"/>
        <w:numPr>
          <w:ilvl w:val="0"/>
          <w:numId w:val="1001"/>
        </w:numPr>
      </w:pPr>
      <w:r>
        <w:t xml:space="preserve">Таненбаум Э., Бос Х. Современные операционные системы. — 4-е</w:t>
      </w:r>
      <w:r>
        <w:t xml:space="preserve"> </w:t>
      </w:r>
      <w:r>
        <w:t xml:space="preserve">изд. — СПб. : Питер, 2015. — 1120 с. — (Классика Computer Science).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32" Target="media/rId32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Мальянц В. К.</dc:creator>
  <dc:language>ru-RU</dc:language>
  <cp:keywords/>
  <dcterms:created xsi:type="dcterms:W3CDTF">2024-10-09T14:50:40Z</dcterms:created>
  <dcterms:modified xsi:type="dcterms:W3CDTF">2024-10-09T14:50:40Z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Система контроля версий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