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28"/>
          <w:szCs w:val="28"/>
        </w:rPr>
      </w:pPr>
      <w:r w:rsidDel="00000000" w:rsidR="00000000" w:rsidRPr="00000000">
        <w:rPr>
          <w:b w:val="1"/>
          <w:bCs w:val="1"/>
          <w:sz w:val="28"/>
          <w:szCs w:val="28"/>
          <w:rtl w:val="0"/>
        </w:rPr>
        <w:t xml:space="preserve">Universidad Americana</w:t>
      </w:r>
    </w:p>
    <w:p w:rsidR="00000000" w:rsidDel="00000000" w:rsidP="00000000" w:rsidRDefault="00000000" w:rsidRPr="00000000" w14:paraId="00000002">
      <w:pPr>
        <w:spacing w:after="160" w:line="259" w:lineRule="auto"/>
        <w:jc w:val="center"/>
        <w:rPr>
          <w:sz w:val="28"/>
          <w:szCs w:val="28"/>
        </w:rPr>
      </w:pPr>
      <w:r w:rsidDel="00000000" w:rsidR="00000000" w:rsidRPr="00000000">
        <w:rPr>
          <w:sz w:val="28"/>
          <w:szCs w:val="28"/>
          <w:rtl w:val="0"/>
        </w:rPr>
        <w:t xml:space="preserve">Facultad de Ingeniería y Arquitectura</w:t>
      </w:r>
    </w:p>
    <w:p w:rsidR="00000000" w:rsidDel="00000000" w:rsidP="00000000" w:rsidRDefault="00000000" w:rsidRPr="00000000" w14:paraId="00000003">
      <w:pPr>
        <w:spacing w:after="160" w:line="259" w:lineRule="auto"/>
        <w:jc w:val="center"/>
        <w:rPr>
          <w:sz w:val="28"/>
          <w:szCs w:val="28"/>
        </w:rPr>
      </w:pPr>
      <w:r w:rsidDel="00000000" w:rsidR="00000000" w:rsidRPr="00000000">
        <w:rPr>
          <w:sz w:val="28"/>
          <w:szCs w:val="28"/>
        </w:rPr>
        <w:drawing>
          <wp:inline distB="0" distT="0" distL="0" distR="0">
            <wp:extent cx="2647950" cy="26479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79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5">
      <w:pPr>
        <w:spacing w:after="160" w:line="259" w:lineRule="auto"/>
        <w:jc w:val="center"/>
        <w:rPr>
          <w:i w:val="1"/>
          <w:iCs w:val="1"/>
          <w:sz w:val="28"/>
          <w:szCs w:val="28"/>
        </w:rPr>
      </w:pPr>
      <w:r w:rsidDel="00000000" w:rsidR="00000000" w:rsidRPr="00000000">
        <w:rPr>
          <w:i w:val="1"/>
          <w:iCs w:val="1"/>
          <w:sz w:val="28"/>
          <w:szCs w:val="28"/>
          <w:rtl w:val="0"/>
        </w:rPr>
        <w:t xml:space="preserve">“Informe Ejecutivo Importación México-Nicaragua”</w:t>
      </w:r>
    </w:p>
    <w:p w:rsidR="00000000" w:rsidDel="00000000" w:rsidP="00000000" w:rsidRDefault="00000000" w:rsidRPr="00000000" w14:paraId="00000006">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7">
      <w:pPr>
        <w:spacing w:after="160" w:line="259" w:lineRule="auto"/>
        <w:jc w:val="center"/>
        <w:rPr>
          <w:sz w:val="28"/>
          <w:szCs w:val="28"/>
        </w:rPr>
      </w:pPr>
      <w:r w:rsidDel="00000000" w:rsidR="00000000" w:rsidRPr="00000000">
        <w:rPr>
          <w:sz w:val="28"/>
          <w:szCs w:val="28"/>
          <w:rtl w:val="0"/>
        </w:rPr>
        <w:t xml:space="preserve">Benancia Belén Aguirre Meza</w:t>
      </w:r>
    </w:p>
    <w:p w:rsidR="00000000" w:rsidDel="00000000" w:rsidP="00000000" w:rsidRDefault="00000000" w:rsidRPr="00000000" w14:paraId="00000008">
      <w:pPr>
        <w:spacing w:after="160" w:line="259" w:lineRule="auto"/>
        <w:jc w:val="center"/>
        <w:rPr>
          <w:sz w:val="28"/>
          <w:szCs w:val="28"/>
        </w:rPr>
      </w:pPr>
      <w:r w:rsidDel="00000000" w:rsidR="00000000" w:rsidRPr="00000000">
        <w:rPr>
          <w:sz w:val="28"/>
          <w:szCs w:val="28"/>
          <w:rtl w:val="0"/>
        </w:rPr>
        <w:t xml:space="preserve">Maria Victoria Mojica Moreno</w:t>
      </w:r>
    </w:p>
    <w:p w:rsidR="00000000" w:rsidDel="00000000" w:rsidP="00000000" w:rsidRDefault="00000000" w:rsidRPr="00000000" w14:paraId="00000009">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A">
      <w:pPr>
        <w:spacing w:after="160" w:line="259" w:lineRule="auto"/>
        <w:jc w:val="center"/>
        <w:rPr>
          <w:b w:val="1"/>
          <w:bCs w:val="1"/>
          <w:sz w:val="28"/>
          <w:szCs w:val="28"/>
        </w:rPr>
      </w:pPr>
      <w:r w:rsidDel="00000000" w:rsidR="00000000" w:rsidRPr="00000000">
        <w:rPr>
          <w:b w:val="1"/>
          <w:bCs w:val="1"/>
          <w:sz w:val="28"/>
          <w:szCs w:val="28"/>
          <w:rtl w:val="0"/>
        </w:rPr>
        <w:t xml:space="preserve">Docente: </w:t>
      </w:r>
    </w:p>
    <w:p w:rsidR="00000000" w:rsidDel="00000000" w:rsidP="00000000" w:rsidRDefault="00000000" w:rsidRPr="00000000" w14:paraId="0000000B">
      <w:pPr>
        <w:spacing w:after="160" w:line="259" w:lineRule="auto"/>
        <w:jc w:val="center"/>
        <w:rPr>
          <w:sz w:val="28"/>
          <w:szCs w:val="28"/>
        </w:rPr>
      </w:pPr>
      <w:r w:rsidDel="00000000" w:rsidR="00000000" w:rsidRPr="00000000">
        <w:rPr>
          <w:sz w:val="28"/>
          <w:szCs w:val="28"/>
          <w:rtl w:val="0"/>
        </w:rPr>
        <w:t xml:space="preserve">José Durán</w:t>
      </w:r>
    </w:p>
    <w:p w:rsidR="00000000" w:rsidDel="00000000" w:rsidP="00000000" w:rsidRDefault="00000000" w:rsidRPr="00000000" w14:paraId="0000000C">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D">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E">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0F">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0">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11">
      <w:pPr>
        <w:spacing w:after="160" w:line="259" w:lineRule="auto"/>
        <w:jc w:val="center"/>
        <w:rPr>
          <w:b w:val="1"/>
          <w:bCs w:val="1"/>
          <w:sz w:val="28"/>
          <w:szCs w:val="28"/>
        </w:rPr>
      </w:pPr>
      <w:r w:rsidDel="00000000" w:rsidR="00000000" w:rsidRPr="00000000">
        <w:rPr>
          <w:b w:val="1"/>
          <w:bCs w:val="1"/>
          <w:sz w:val="28"/>
          <w:szCs w:val="28"/>
          <w:rtl w:val="0"/>
        </w:rPr>
        <w:t xml:space="preserve">22 de septiembre de 2026</w:t>
      </w:r>
    </w:p>
    <w:p w:rsidR="00000000" w:rsidDel="00000000" w:rsidP="00000000" w:rsidRDefault="00000000" w:rsidRPr="00000000" w14:paraId="00000012">
      <w:pPr>
        <w:spacing w:after="160" w:line="259"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160" w:line="259"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rtl w:val="0"/>
        </w:rPr>
        <w:t xml:space="preserve">INFORME EJECUTIVO  IMPORTACIÓN MÉXICO  NICARAGUA</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Times New Roman" w:cs="Times New Roman" w:eastAsia="Times New Roman" w:hAnsi="Times New Roman"/>
          <w:rtl w:val="0"/>
        </w:rPr>
        <w:t xml:space="preserve">1. Descripción de la operación</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Empresa: </w:t>
      </w:r>
      <w:r w:rsidDel="00000000" w:rsidR="00000000" w:rsidRPr="00000000">
        <w:rPr>
          <w:rtl w:val="0"/>
        </w:rPr>
        <w:t xml:space="preserve">NicaTrade International. </w:t>
      </w:r>
      <w:r w:rsidDel="00000000" w:rsidR="00000000" w:rsidRPr="00000000">
        <w:rPr>
          <w:b w:val="1"/>
          <w:bCs w:val="1"/>
          <w:rtl w:val="0"/>
        </w:rPr>
        <w:t xml:space="preserve">Tipo de operación: </w:t>
      </w:r>
      <w:r w:rsidDel="00000000" w:rsidR="00000000" w:rsidRPr="00000000">
        <w:rPr>
          <w:rtl w:val="0"/>
        </w:rPr>
        <w:t xml:space="preserve">Importación internacional de productos alimenticios y de consumo. </w:t>
      </w:r>
      <w:r w:rsidDel="00000000" w:rsidR="00000000" w:rsidRPr="00000000">
        <w:rPr>
          <w:b w:val="1"/>
          <w:bCs w:val="1"/>
          <w:rtl w:val="0"/>
        </w:rPr>
        <w:t xml:space="preserve">País de origen principal: </w:t>
      </w:r>
      <w:r w:rsidDel="00000000" w:rsidR="00000000" w:rsidRPr="00000000">
        <w:rPr>
          <w:rtl w:val="0"/>
        </w:rPr>
        <w:t xml:space="preserve">México. </w:t>
      </w:r>
      <w:r w:rsidDel="00000000" w:rsidR="00000000" w:rsidRPr="00000000">
        <w:rPr>
          <w:b w:val="1"/>
          <w:bCs w:val="1"/>
          <w:rtl w:val="0"/>
        </w:rPr>
        <w:t xml:space="preserve">País de destino: </w:t>
      </w:r>
      <w:r w:rsidDel="00000000" w:rsidR="00000000" w:rsidRPr="00000000">
        <w:rPr>
          <w:rtl w:val="0"/>
        </w:rPr>
        <w:t xml:space="preserve">Nicaragua.</w:t>
      </w:r>
    </w:p>
    <w:p w:rsidR="00000000" w:rsidDel="00000000" w:rsidP="00000000" w:rsidRDefault="00000000" w:rsidRPr="00000000" w14:paraId="00000017">
      <w:pPr>
        <w:rPr/>
      </w:pPr>
      <w:r w:rsidDel="00000000" w:rsidR="00000000" w:rsidRPr="00000000">
        <w:rPr>
          <w:rtl w:val="0"/>
        </w:rPr>
        <w:t xml:space="preserve">NicaTrade International es una empresa nicaragüense dedicada a la importación y exportación de productos alimenticios y de consumo hacia distintos mercados de Centroamérica. Para este microproyecto se analiza una operación de importación hacia Nicaragua, utilizando una base de datos de 50 productos. El procesamiento permite transformar los datos de cantidades, precios, país de origen e importes en información útil para la toma de decisiones comerciales.</w:t>
      </w:r>
    </w:p>
    <w:p w:rsidR="00000000" w:rsidDel="00000000" w:rsidP="00000000" w:rsidRDefault="00000000" w:rsidRPr="00000000" w14:paraId="00000018">
      <w:pPr>
        <w:pStyle w:val="Heading1"/>
        <w:rPr/>
      </w:pPr>
      <w:r w:rsidDel="00000000" w:rsidR="00000000" w:rsidRPr="00000000">
        <w:rPr>
          <w:rFonts w:ascii="Times New Roman" w:cs="Times New Roman" w:eastAsia="Times New Roman" w:hAnsi="Times New Roman"/>
          <w:rtl w:val="0"/>
        </w:rPr>
        <w:t xml:space="preserve">2. Productos importados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 base analizada incluye productos agrupados en las categorías de alimentos, bebidas, limpieza, hogar, oficina, tecnología y accesorios. Entre ellos se encuentran galletas, café soluble, atún, aceite vegetal, bebidas, detergentes, papel higiénico, cuadernos, calculadoras, memorias USB, audífonos, mochilas, termos y organizadores. La mayoría de los registros tiene como país de origen México; además, la tabla contiene algunos productos procedentes de Guatemala, Costa Rica y El Salvador, lo que permite diferenciar el importe correspondiente específicamente a los productos mexicanos.</w:t>
      </w:r>
    </w:p>
    <w:p w:rsidR="00000000" w:rsidDel="00000000" w:rsidP="00000000" w:rsidRDefault="00000000" w:rsidRPr="00000000" w14:paraId="0000001A">
      <w:pPr>
        <w:pStyle w:val="Heading1"/>
        <w:rPr/>
      </w:pPr>
      <w:r w:rsidDel="00000000" w:rsidR="00000000" w:rsidRPr="00000000">
        <w:rPr>
          <w:rFonts w:ascii="Times New Roman" w:cs="Times New Roman" w:eastAsia="Times New Roman" w:hAnsi="Times New Roman"/>
          <w:rtl w:val="0"/>
        </w:rPr>
        <w:t xml:space="preserve">3. Resultados obtenidos en Excel</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1B">
            <w:pPr>
              <w:spacing w:after="0" w:lineRule="auto"/>
              <w:jc w:val="center"/>
              <w:rPr>
                <w:color w:val="c0504d"/>
              </w:rPr>
            </w:pPr>
            <w:r w:rsidDel="00000000" w:rsidR="00000000" w:rsidRPr="00000000">
              <w:rPr>
                <w:b w:val="1"/>
                <w:bCs w:val="1"/>
                <w:color w:val="c0504d"/>
                <w:rtl w:val="0"/>
              </w:rPr>
              <w:t xml:space="preserve">Indicador</w:t>
            </w:r>
            <w:r w:rsidDel="00000000" w:rsidR="00000000" w:rsidRPr="00000000">
              <w:rPr>
                <w:rtl w:val="0"/>
              </w:rPr>
            </w:r>
          </w:p>
        </w:tc>
        <w:tc>
          <w:tcPr>
            <w:vAlign w:val="center"/>
          </w:tcPr>
          <w:p w:rsidR="00000000" w:rsidDel="00000000" w:rsidP="00000000" w:rsidRDefault="00000000" w:rsidRPr="00000000" w14:paraId="0000001C">
            <w:pPr>
              <w:spacing w:after="0" w:lineRule="auto"/>
              <w:jc w:val="center"/>
              <w:rPr>
                <w:color w:val="c0504d"/>
              </w:rPr>
            </w:pPr>
            <w:r w:rsidDel="00000000" w:rsidR="00000000" w:rsidRPr="00000000">
              <w:rPr>
                <w:b w:val="1"/>
                <w:bCs w:val="1"/>
                <w:color w:val="c0504d"/>
                <w:rtl w:val="0"/>
              </w:rPr>
              <w:t xml:space="preserve">Resultado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Importe total de la operación</w:t>
            </w:r>
          </w:p>
        </w:tc>
        <w:tc>
          <w:tcPr>
            <w:vAlign w:val="center"/>
          </w:tcPr>
          <w:p w:rsidR="00000000" w:rsidDel="00000000" w:rsidP="00000000" w:rsidRDefault="00000000" w:rsidRPr="00000000" w14:paraId="0000001E">
            <w:pPr>
              <w:spacing w:after="0" w:lineRule="auto"/>
              <w:jc w:val="center"/>
              <w:rPr/>
            </w:pPr>
            <w:r w:rsidDel="00000000" w:rsidR="00000000" w:rsidRPr="00000000">
              <w:rPr>
                <w:rtl w:val="0"/>
              </w:rPr>
              <w:t xml:space="preserve">US$40,359.00</w:t>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rtl w:val="0"/>
              </w:rPr>
              <w:t xml:space="preserve">Producto con mayor importe</w:t>
            </w:r>
          </w:p>
        </w:tc>
        <w:tc>
          <w:tcPr>
            <w:vAlign w:val="center"/>
          </w:tcPr>
          <w:p w:rsidR="00000000" w:rsidDel="00000000" w:rsidP="00000000" w:rsidRDefault="00000000" w:rsidRPr="00000000" w14:paraId="00000020">
            <w:pPr>
              <w:spacing w:after="0" w:lineRule="auto"/>
              <w:jc w:val="center"/>
              <w:rPr/>
            </w:pPr>
            <w:r w:rsidDel="00000000" w:rsidR="00000000" w:rsidRPr="00000000">
              <w:rPr>
                <w:rtl w:val="0"/>
              </w:rPr>
              <w:t xml:space="preserve">Mochilas – US$1,912.50</w:t>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rtl w:val="0"/>
              </w:rPr>
              <w:t xml:space="preserve">Precio promedio de los productos</w:t>
            </w:r>
          </w:p>
        </w:tc>
        <w:tc>
          <w:tcPr>
            <w:vAlign w:val="center"/>
          </w:tcPr>
          <w:p w:rsidR="00000000" w:rsidDel="00000000" w:rsidP="00000000" w:rsidRDefault="00000000" w:rsidRPr="00000000" w14:paraId="00000022">
            <w:pPr>
              <w:spacing w:after="0" w:lineRule="auto"/>
              <w:jc w:val="center"/>
              <w:rPr/>
            </w:pPr>
            <w:r w:rsidDel="00000000" w:rsidR="00000000" w:rsidRPr="00000000">
              <w:rPr>
                <w:rtl w:val="0"/>
              </w:rPr>
              <w:t xml:space="preserve">US$7.74</w:t>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rtl w:val="0"/>
              </w:rPr>
              <w:t xml:space="preserve">Cantidad de productos registrados</w:t>
            </w:r>
          </w:p>
        </w:tc>
        <w:tc>
          <w:tcPr>
            <w:vAlign w:val="center"/>
          </w:tcPr>
          <w:p w:rsidR="00000000" w:rsidDel="00000000" w:rsidP="00000000" w:rsidRDefault="00000000" w:rsidRPr="00000000" w14:paraId="00000024">
            <w:pPr>
              <w:spacing w:after="0" w:lineRule="auto"/>
              <w:jc w:val="center"/>
              <w:rPr/>
            </w:pPr>
            <w:r w:rsidDel="00000000" w:rsidR="00000000" w:rsidRPr="00000000">
              <w:rPr>
                <w:rtl w:val="0"/>
              </w:rPr>
              <w:t xml:space="preserve">50</w:t>
            </w:r>
          </w:p>
        </w:tc>
      </w:tr>
      <w:tr>
        <w:trPr>
          <w:cantSplit w:val="0"/>
          <w:tblHeader w:val="0"/>
        </w:trPr>
        <w:tc>
          <w:tcPr>
            <w:vAlign w:val="center"/>
          </w:tcPr>
          <w:p w:rsidR="00000000" w:rsidDel="00000000" w:rsidP="00000000" w:rsidRDefault="00000000" w:rsidRPr="00000000" w14:paraId="00000025">
            <w:pPr>
              <w:spacing w:after="0" w:lineRule="auto"/>
              <w:rPr/>
            </w:pPr>
            <w:r w:rsidDel="00000000" w:rsidR="00000000" w:rsidRPr="00000000">
              <w:rPr>
                <w:rtl w:val="0"/>
              </w:rPr>
              <w:t xml:space="preserve">Importe correspondiente a productos de México</w:t>
            </w:r>
          </w:p>
        </w:tc>
        <w:tc>
          <w:tcP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US$36,919.50</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importe total se obtuvo sumando los importes individuales de cada producto, calculados mediante la multiplicación de la cantidad por el precio unitario. El producto con mayor importe es Mochilas, con US$1,912.50. El precio unitario promedio es de US$7.74 y se registran 50 productos. Asimismo, el importe de los productos cuyo país de origen es México asciende a US$36,919.50.</w:t>
      </w:r>
    </w:p>
    <w:p w:rsidR="00000000" w:rsidDel="00000000" w:rsidP="00000000" w:rsidRDefault="00000000" w:rsidRPr="00000000" w14:paraId="00000029">
      <w:pPr>
        <w:pStyle w:val="Heading1"/>
        <w:rPr/>
      </w:pPr>
      <w:r w:rsidDel="00000000" w:rsidR="00000000" w:rsidRPr="00000000">
        <w:rPr>
          <w:rFonts w:ascii="Times New Roman" w:cs="Times New Roman" w:eastAsia="Times New Roman" w:hAnsi="Times New Roman"/>
          <w:rtl w:val="0"/>
        </w:rPr>
        <w:t xml:space="preserve">4. Importancia del análisis previo a la operación comercial</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Analizar la información antes de realizar una operación comercial es importante porque permite conocer el valor económico involucrado, identificar los productos que representan mayores importes y revisar la relación entre cantidades y precios. También facilita detectar inconsistencias, diferenciar mercancías por país de origen y disponer de datos resumidos para planificar la operación. Una base organizada reduce errores y permite que la información pueda ser utilizada posteriormente en informes, presentaciones y procesos de seguimiento.</w:t>
      </w:r>
    </w:p>
    <w:p w:rsidR="00000000" w:rsidDel="00000000" w:rsidP="00000000" w:rsidRDefault="00000000" w:rsidRPr="00000000" w14:paraId="0000002B">
      <w:pPr>
        <w:pStyle w:val="Heading1"/>
        <w:rPr/>
      </w:pPr>
      <w:r w:rsidDel="00000000" w:rsidR="00000000" w:rsidRPr="00000000">
        <w:rPr>
          <w:rFonts w:ascii="Times New Roman" w:cs="Times New Roman" w:eastAsia="Times New Roman" w:hAnsi="Times New Roman"/>
          <w:rtl w:val="0"/>
        </w:rPr>
        <w:t xml:space="preserve">5. Conclusión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gestión adecuada de la información es un componente esencial de una operación internacional. En el caso analizado, Excel permitió procesar y clasificar los datos de la importación, mientras que el informe presenta los resultados de forma clara para su comunicación. Mantener archivos organizados, con nombres descriptivos y datos correctamente procesados facilita compartir, localizar y recuperar la información cuando sea necesaria. De esta manera, las herramientas digitales apoyan un proceso integrado de gestión de información empresarial y contribuyen a una mejor toma de decisiones.</w:t>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hnAkPekUK379hZd1ceaKoGImA==">CgMxLjA4AHIhMU1ONnZGTzNWUlhSenNJQllhSVQxMTM0ZlhkZUZwZ2ll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