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375A"/>
          <w:sz w:val="32"/>
        </w:rPr>
        <w:t>System Architecture &amp; ERD</w:t>
      </w:r>
    </w:p>
    <w:p>
      <w:r>
        <w:rPr>
          <w:color w:val="1E375A"/>
          <w:sz w:val="22"/>
        </w:rPr>
        <w:t>Unique Entrepreneur Literacy Hub — Phase 3 Design Baseline</w:t>
      </w:r>
    </w:p>
    <w:p/>
    <w:p>
      <w:r>
        <w:rPr>
          <w:b/>
          <w:color w:val="1E375A"/>
          <w:sz w:val="26"/>
        </w:rPr>
        <w:t>1. Overview</w:t>
      </w:r>
    </w:p>
    <w:p/>
    <w:p>
      <w:r>
        <w:rPr>
          <w:b/>
          <w:color w:val="1E375A"/>
        </w:rPr>
        <w:t>Briefly describe the platform purpose, tenants (co-ops, SMEs, schools), and target regions (UK &amp; Nigeria).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</w:tbl>
    <w:p/>
    <w:p>
      <w:r>
        <w:rPr>
          <w:b/>
          <w:color w:val="1E375A"/>
          <w:sz w:val="26"/>
        </w:rPr>
        <w:t>2. Architecture Summary</w:t>
      </w:r>
    </w:p>
    <w:p/>
    <w:p>
      <w:r>
        <w:rPr>
          <w:b/>
          <w:color w:val="1E375A"/>
          <w:sz w:val="26"/>
        </w:rPr>
        <w:t>2.1 Technology Stack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E375A"/>
              </w:rPr>
              <w:t>Frontend</w:t>
            </w:r>
          </w:p>
        </w:tc>
        <w:tc>
          <w:tcPr>
            <w:tcW w:type="dxa" w:w="4320"/>
            <w:shd w:val="clear" w:color="auto" w:fill="F0F0F0"/>
          </w:tcPr>
          <w:p>
            <w:r>
              <w:rPr>
                <w:color w:val="787878"/>
              </w:rPr>
              <w:t>Next.js (App Router), React, TypeScript, Tailwind, shadcn/ui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E375A"/>
              </w:rPr>
              <w:t>Backend</w:t>
            </w:r>
          </w:p>
        </w:tc>
        <w:tc>
          <w:tcPr>
            <w:tcW w:type="dxa" w:w="4320"/>
            <w:shd w:val="clear" w:color="auto" w:fill="F0F0F0"/>
          </w:tcPr>
          <w:p>
            <w:r>
              <w:rPr>
                <w:color w:val="787878"/>
              </w:rPr>
              <w:t>Django, Django REST Framework, JWT auth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E375A"/>
              </w:rPr>
              <w:t>Database</w:t>
            </w:r>
          </w:p>
        </w:tc>
        <w:tc>
          <w:tcPr>
            <w:tcW w:type="dxa" w:w="4320"/>
            <w:shd w:val="clear" w:color="auto" w:fill="F0F0F0"/>
          </w:tcPr>
          <w:p>
            <w:r>
              <w:rPr>
                <w:color w:val="787878"/>
              </w:rPr>
              <w:t>PostgreSQL with Row-Level Security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E375A"/>
              </w:rPr>
              <w:t>Cache &amp; Queue</w:t>
            </w:r>
          </w:p>
        </w:tc>
        <w:tc>
          <w:tcPr>
            <w:tcW w:type="dxa" w:w="4320"/>
            <w:shd w:val="clear" w:color="auto" w:fill="F0F0F0"/>
          </w:tcPr>
          <w:p>
            <w:r>
              <w:rPr>
                <w:color w:val="787878"/>
              </w:rPr>
              <w:t>Redis + Celery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E375A"/>
              </w:rPr>
              <w:t>Storage/CDN</w:t>
            </w:r>
          </w:p>
        </w:tc>
        <w:tc>
          <w:tcPr>
            <w:tcW w:type="dxa" w:w="4320"/>
            <w:shd w:val="clear" w:color="auto" w:fill="F0F0F0"/>
          </w:tcPr>
          <w:p>
            <w:r>
              <w:rPr>
                <w:color w:val="787878"/>
              </w:rPr>
              <w:t>AWS S3 + CloudFront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E375A"/>
              </w:rPr>
              <w:t>Video</w:t>
            </w:r>
          </w:p>
        </w:tc>
        <w:tc>
          <w:tcPr>
            <w:tcW w:type="dxa" w:w="4320"/>
            <w:shd w:val="clear" w:color="auto" w:fill="F0F0F0"/>
          </w:tcPr>
          <w:p>
            <w:r>
              <w:rPr>
                <w:color w:val="787878"/>
              </w:rPr>
              <w:t>S3 + transcoding or Vimeo/Wistia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E375A"/>
              </w:rPr>
              <w:t>Infra</w:t>
            </w:r>
          </w:p>
        </w:tc>
        <w:tc>
          <w:tcPr>
            <w:tcW w:type="dxa" w:w="4320"/>
            <w:shd w:val="clear" w:color="auto" w:fill="F0F0F0"/>
          </w:tcPr>
          <w:p>
            <w:r>
              <w:rPr>
                <w:color w:val="787878"/>
              </w:rPr>
              <w:t>Docker, CI/CD (GitHub Actions), AWS/Render/Vercel/Fly.io</w:t>
            </w:r>
          </w:p>
        </w:tc>
      </w:tr>
    </w:tbl>
    <w:p/>
    <w:p>
      <w:r>
        <w:rPr>
          <w:b/>
          <w:color w:val="1E375A"/>
        </w:rPr>
        <w:t>2.2 High-Level Component Diagram (describe services: Web, API, DB, Cache, Storage, Integrations).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</w:tbl>
    <w:p/>
    <w:p>
      <w:r>
        <w:rPr>
          <w:b/>
          <w:color w:val="1E375A"/>
          <w:sz w:val="26"/>
        </w:rPr>
        <w:t>3. Multi-Tenancy &amp; Data Isolation</w:t>
      </w:r>
    </w:p>
    <w:p/>
    <w:p>
      <w:r>
        <w:rPr>
          <w:b/>
          <w:color w:val="1E375A"/>
        </w:rPr>
        <w:t>Explain org → school → class hierarchy, tenant resolution (domain/subdomain/claims), and isolation rules by org_id / school_id.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</w:tbl>
    <w:p/>
    <w:p>
      <w:r>
        <w:rPr>
          <w:b/>
          <w:color w:val="1E375A"/>
          <w:sz w:val="26"/>
        </w:rPr>
        <w:t>4. Entity-Relationship Model (ERD)</w:t>
      </w:r>
    </w:p>
    <w:p/>
    <w:p>
      <w:r>
        <w:rPr>
          <w:b/>
          <w:color w:val="1E375A"/>
        </w:rPr>
        <w:t>List core entities (Organisation, School, Class, User, RoleAssignment, Course, Section, Lesson, Enrollment, Quiz, Submission, Certificate, Order, Payment, Payout, Coupon, AuditLog). Attach diagram or maintain link to draw.io/Lucidchart.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</w:tbl>
    <w:p/>
    <w:p>
      <w:r>
        <w:rPr>
          <w:b/>
          <w:color w:val="1E375A"/>
          <w:sz w:val="26"/>
        </w:rPr>
        <w:t>5. Row-Level Security Strategy</w:t>
      </w:r>
    </w:p>
    <w:p/>
    <w:p>
      <w:r>
        <w:rPr>
          <w:b/>
          <w:color w:val="1E375A"/>
        </w:rPr>
        <w:t>Describe how PostgreSQL RLS is applied (e.g. policies on course, enrollment, etc.) based on current_org_id, roles, and tenant context from JWT.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</w:tbl>
    <w:p/>
    <w:p>
      <w:r>
        <w:rPr>
          <w:b/>
          <w:color w:val="1E375A"/>
          <w:sz w:val="26"/>
        </w:rPr>
        <w:t>6. API Design Overview</w:t>
      </w:r>
    </w:p>
    <w:p/>
    <w:p>
      <w:r>
        <w:rPr>
          <w:b/>
          <w:color w:val="1E375A"/>
        </w:rPr>
        <w:t>Summarise main endpoints (auth, orgs, schools, courses, enrolments, quizzes, reports), use of pagination, filtering, and versioning (/api/v1).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</w:tbl>
    <w:p/>
    <w:p>
      <w:r>
        <w:rPr>
          <w:b/>
          <w:color w:val="1E375A"/>
          <w:sz w:val="26"/>
        </w:rPr>
        <w:t>7. Non-Functional Requirements Mapping</w:t>
      </w:r>
    </w:p>
    <w:p/>
    <w:p>
      <w:r>
        <w:rPr>
          <w:b/>
          <w:color w:val="1E375A"/>
        </w:rPr>
        <w:t>Explain how the chosen architecture meets performance, scalability, observability, security, and availability targets.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</w:tbl>
    <w:p/>
    <w:p>
      <w:r>
        <w:rPr>
          <w:b/>
          <w:color w:val="1E375A"/>
          <w:sz w:val="26"/>
        </w:rPr>
        <w:t>8. Integrations</w:t>
      </w:r>
    </w:p>
    <w:p/>
    <w:p>
      <w:r>
        <w:rPr>
          <w:b/>
          <w:color w:val="1E375A"/>
        </w:rPr>
        <w:t>List integrations: SSO (OAuth/SAML), payment gateways, email provider, analytics, video hosting.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</w:tbl>
    <w:p/>
    <w:p>
      <w:r>
        <w:rPr>
          <w:b/>
          <w:color w:val="1E375A"/>
          <w:sz w:val="26"/>
        </w:rPr>
        <w:t>9. Security &amp; Data Governance Alignment</w:t>
      </w:r>
    </w:p>
    <w:p/>
    <w:p>
      <w:r>
        <w:rPr>
          <w:b/>
          <w:color w:val="1E375A"/>
        </w:rPr>
        <w:t>Reference Data Governance Framework; show how RBAC, RLS, encryption, audit logs and retention are enforced technically.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</w:tbl>
    <w:p/>
    <w:p>
      <w:r>
        <w:rPr>
          <w:b/>
          <w:color w:val="1E375A"/>
          <w:sz w:val="26"/>
        </w:rPr>
        <w:t>10. Open Questions &amp; Design Decisions</w:t>
      </w:r>
    </w:p>
    <w:p/>
    <w:p>
      <w:r>
        <w:rPr>
          <w:b/>
          <w:color w:val="1E375A"/>
        </w:rPr>
        <w:t>Track pending decisions (e.g. final video provider, final hosting choice, etc.).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r>
              <w:rPr>
                <w:color w:val="787878"/>
                <w:sz w:val="20"/>
              </w:rPr>
              <w:t>Click to type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1E375A"/>
        <w:sz w:val="18"/>
      </w:rPr>
      <w:t>Omole Victoria Oluwatosin — Business Analyst | Data Analyst | Data Management Professional | Frontend &amp; Backend Engineer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b/>
        <w:color w:val="1E375A"/>
        <w:sz w:val="22"/>
      </w:rPr>
      <w:t>UNIQUE ENTREPRENEUR SOLUTIONS LIMITED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