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both"/>
        <w:rPr>
          <w:b w:val="1"/>
          <w:sz w:val="24"/>
          <w:szCs w:val="24"/>
        </w:rPr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4 – Ejercicios para realizar sin utilizar bucles (voluntaria)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both"/>
        <w:rPr/>
      </w:pPr>
      <w:bookmarkStart w:colFirst="0" w:colLast="0" w:name="_rbnc5ojgrt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5 números y diga cual es el mayor y cuál el menor.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5 números y diga si estos estaban en orden decreciente, </w:t>
        <w:tab/>
        <w:t xml:space="preserve">creciente o desordenados.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si quiere calcular el área de un triángulo o un cuadrado, y pida los datos según que caso y muestre el resultado.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tres números y un cuarto número, y compruebe si éste último es divisor de los tres números primeros.</w:t>
        <w:br w:type="textWrapping"/>
        <w:t xml:space="preserve"> </w:t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un importe en euros y diga si el cajero automático le </w:t>
        <w:tab/>
        <w:t xml:space="preserve">puede dar dicho importe utilizando el mismo billete y el más grande </w:t>
        <w:tab/>
        <w:t xml:space="preserve">(recuerda que el billete puede ser de 500, 200, 100, 50, 20, 10 y 5 </w:t>
        <w:tab/>
        <w:t xml:space="preserve">€).</w:t>
        <w:br w:type="textWrapping"/>
        <w:t xml:space="preserve"> </w:t>
        <w:tab/>
        <w:br w:type="textWrapping"/>
        <w:t xml:space="preserve">Por ejemplo: 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25 euros → “el cajero te devuelve 5 billetes de 5 euros”</w:t>
        <w:br w:type="textWrapping"/>
        <w:t xml:space="preserve"> </w:t>
        <w:tab/>
        <w:br w:type="textWrapping"/>
        <w:t xml:space="preserve">20 euros → “el cajero de devuelve 1 billete de 20 euros”</w:t>
        <w:br w:type="textWrapping"/>
        <w:t xml:space="preserve"> </w:t>
        <w:tab/>
        <w:br w:type="textWrapping"/>
        <w:t xml:space="preserve">130 euros → “el cajero te devuelve 13 billetes de 10 euros”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