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04F3" w14:textId="3B319F05" w:rsidR="00045FFC" w:rsidRPr="00045FFC" w:rsidRDefault="00045FFC" w:rsidP="00045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FC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79AE5E4D" w14:textId="7BFBF1E0" w:rsidR="00045FFC" w:rsidRPr="00045FFC" w:rsidRDefault="00045FFC" w:rsidP="00045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FC">
        <w:rPr>
          <w:rFonts w:ascii="Times New Roman" w:hAnsi="Times New Roman" w:cs="Times New Roman"/>
          <w:sz w:val="28"/>
          <w:szCs w:val="28"/>
        </w:rPr>
        <w:t xml:space="preserve">ПОСТРОЕНИЕ МОДЕЛЕЙ ПРЕДМИЕТНОЙ ОБЛАСТИ С ИСПОЛЬЗОВАНИЕМ </w:t>
      </w:r>
      <w:r w:rsidRPr="00045F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45FFC">
        <w:rPr>
          <w:rFonts w:ascii="Times New Roman" w:hAnsi="Times New Roman" w:cs="Times New Roman"/>
          <w:sz w:val="28"/>
          <w:szCs w:val="28"/>
        </w:rPr>
        <w:t xml:space="preserve"> - СРЕДСТВ</w:t>
      </w:r>
    </w:p>
    <w:p w14:paraId="616C308A" w14:textId="0E8F0FCD" w:rsidR="00045FFC" w:rsidRPr="00045FFC" w:rsidRDefault="00045FFC" w:rsidP="00045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Создание модели системы в нотации </w:t>
      </w:r>
      <w:r w:rsidRPr="00045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45FF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обучающих курсов</w:t>
      </w:r>
    </w:p>
    <w:p w14:paraId="72B238DE" w14:textId="6F458081" w:rsidR="00045FFC" w:rsidRDefault="00045FFC" w:rsidP="00045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FC">
        <w:rPr>
          <w:rFonts w:ascii="Times New Roman" w:hAnsi="Times New Roman" w:cs="Times New Roman"/>
          <w:sz w:val="28"/>
          <w:szCs w:val="28"/>
        </w:rPr>
        <w:t>Вариант 19</w:t>
      </w:r>
      <w:r>
        <w:rPr>
          <w:rFonts w:ascii="Times New Roman" w:hAnsi="Times New Roman" w:cs="Times New Roman"/>
          <w:sz w:val="28"/>
          <w:szCs w:val="28"/>
        </w:rPr>
        <w:t>. Обучающие услуги</w:t>
      </w:r>
    </w:p>
    <w:p w14:paraId="3B2B3B30" w14:textId="3BE8E012" w:rsidR="00045FFC" w:rsidRPr="00045FFC" w:rsidRDefault="00045FFC" w:rsidP="00045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диаграмма верхнего уровня модели (контекстная) представлена на Рисунке 1.</w:t>
      </w:r>
    </w:p>
    <w:p w14:paraId="01DEE0C0" w14:textId="6FE8EC27" w:rsidR="00434F78" w:rsidRDefault="00045FFC" w:rsidP="00045FF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2F7E44" wp14:editId="4F0BA0BD">
            <wp:extent cx="506730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74C" w14:textId="585FD7B0" w:rsidR="00045FFC" w:rsidRDefault="00045FFC" w:rsidP="00045FFC">
      <w:pPr>
        <w:tabs>
          <w:tab w:val="left" w:pos="40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45FFC">
        <w:rPr>
          <w:rFonts w:ascii="Times New Roman" w:hAnsi="Times New Roman" w:cs="Times New Roman"/>
          <w:sz w:val="28"/>
          <w:szCs w:val="28"/>
        </w:rPr>
        <w:t>Рисунок 1 – Контекстная модель обучающих курсов</w:t>
      </w:r>
    </w:p>
    <w:p w14:paraId="6FE25A78" w14:textId="052F1A47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Входы: заявки, документы об оплате.</w:t>
      </w:r>
    </w:p>
    <w:p w14:paraId="62004CE1" w14:textId="13EDB60D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законодательство РБ, ГОСТы.</w:t>
      </w:r>
    </w:p>
    <w:p w14:paraId="28C1D08F" w14:textId="0EDDFE3B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сертификат об окончании.</w:t>
      </w:r>
    </w:p>
    <w:p w14:paraId="7CB9FB84" w14:textId="2824C82E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 преподаватели, слушатели, менеджер.</w:t>
      </w:r>
    </w:p>
    <w:p w14:paraId="26204E6D" w14:textId="72D84A7F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обучающих курсов представлена на Рисунке 2.</w:t>
      </w:r>
    </w:p>
    <w:p w14:paraId="6EAEEC5C" w14:textId="58143B53" w:rsidR="00045FFC" w:rsidRDefault="00045FFC" w:rsidP="00045FFC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8DF70" wp14:editId="235391FC">
            <wp:extent cx="5940425" cy="3908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3A2" w14:textId="4DDE8E34" w:rsidR="00045FFC" w:rsidRDefault="00045FFC" w:rsidP="00045FFC">
      <w:pPr>
        <w:tabs>
          <w:tab w:val="left" w:pos="40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 обучающих курсов</w:t>
      </w:r>
    </w:p>
    <w:p w14:paraId="6E02425F" w14:textId="69A220AC" w:rsidR="006C53B3" w:rsidRDefault="006C53B3" w:rsidP="006C53B3">
      <w:pPr>
        <w:tabs>
          <w:tab w:val="left" w:pos="4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блоки: набор слушателей, прослушивание курса, итоговое оценивание знаний.</w:t>
      </w:r>
    </w:p>
    <w:p w14:paraId="0BCC4EB7" w14:textId="7EA3C780" w:rsidR="006C53B3" w:rsidRPr="00045FFC" w:rsidRDefault="006C53B3" w:rsidP="006C53B3">
      <w:pPr>
        <w:tabs>
          <w:tab w:val="left" w:pos="40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интерфейсным дугам в представленной диаграмме относятся Договор об оплате и Сертификат об окончании. Внутренние дуги: документ о зачислении на курс, допуск к экзамену. Каждый функциональный блок имеет в качестве управления ГОСТы, а итоговое оценивание знаний также содержит законодательство РБ. В качестве механизмов выступают менеджер, слушатели, преподаватели.</w:t>
      </w:r>
    </w:p>
    <w:sectPr w:rsidR="006C53B3" w:rsidRPr="0004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3"/>
    <w:rsid w:val="00045FFC"/>
    <w:rsid w:val="00434F78"/>
    <w:rsid w:val="006044B3"/>
    <w:rsid w:val="006C53B3"/>
    <w:rsid w:val="00C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48AE"/>
  <w15:chartTrackingRefBased/>
  <w15:docId w15:val="{A60E3937-838C-4198-84A2-39AC551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2024-03-12T08:08:00Z</dcterms:created>
  <dcterms:modified xsi:type="dcterms:W3CDTF">2024-03-12T08:30:00Z</dcterms:modified>
</cp:coreProperties>
</file>