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Analítico: A Transformação do Sistema Financeiro Global Através da Economia Sustentável e do Ecossistema de Cashback ESG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Transformação do Comportamento de Consumo e o Foco Corporativo no Cenário Pós-Pandemia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eclosão da pandemia de Covid-19 representou um dos choques sistêmicos mais profundos e multifacetados da era contemporânea, reconfigurando irrevogavelmente a arquitetura do comércio global, as cadeias de suprimentos e, de maneira mais incisiva, a psique do consumidor.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período de confinamento prolongado, marcado por regras estritas de distanciamento social e pela paralisação de atividades econômicas não essenciais, forçou a humanidade a uma introspecção coletiva sobre os limites do modelo de produção vigente.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 mundo pós-pandemia, o conceito de desenvolvimento sustentável, que outrora habitava as periferias dos departamentos de marketing sob a alcunha de "responsabilidade social corporativa", foi catapultado para o centro nevrálgico das estratégias de sobrevivência empresarial.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vida como a conhecíamos sofreu uma transformação estrutural, obrigando corporações de todos os portes a reajustarem-se rapidamente às novas exigências de um mercado que passou a valorizar a resiliência acima da eficiência imediata.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o auge da crise sanitária, os consumidores experimentaram mudanças significativas e permanentes em seu comportamento de compra. Estabeleceu-se uma nova abordagem em relação à saúde, caracterizada pela aceitação generalizada da interdependência intrínseca entre a saúde humana e a saúde ambiental.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populações tornaram-se extraordinariamente mais seletivas em relação ao que compram ou consomem, passando a monitorar com rigor o consumo de determinados produtos considerados prejudiciais à saúde individual ou ao ecossistema global.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Essa metamorfose não é meramente anedótica; ela é quantificável. Dados fornecidos pela Euromonitor revelam que 70% dos consumidores atuais acreditam veementemente que a transparência corporativa e a responsabilidade social das marcas são fatores absolutos e decisivos no momento de finalizar uma transação comercial.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conectividade digital, impulsionada inicialmente pela necessidade de viabilizar o trabalho remoto (home office) e a continuidade das vendas durante os fechamentos físicos, expandiu a mentalidade da transformação digital, permitindo que os consumidores acessassem informações sobre as cadeias produtivas em tempo real.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Historicamente, o relatório de sustentabilidade corporativa tem suas raízes filosóficas no Relatório Brundtland, que propôs que o desenvolvimento sustentável implica uma gestão rigorosa para não comprometer as gerações futuras, dependendo fortemente da ação política e governamental.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Contudo, a lentidão institucional, duramente criticada pelo famoso discurso "How dare you" proferido pela ativista Greta Thunberg na Cimeira de Ação Climática da ONU em 2019, demonstrou que a iniciativa privada precisaria assumir o protagonismo da mudança.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No contexto da Covid-19, estudos acadêmicos que analisaram o comportamento ecoempreendedor demonstraram que a obrigação moral e o engajamento ambiental influenciaram diretamente a percepção de empatia e a criação de valor ecológico.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análise de dados de participantes de iniciativas de conservação, como o Projeto Conexão Mata Atlântica, sublinha que a consciência ambiental aumentou substancialmente na sociedade, impulsionando a necessidade de soluções integradas.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tecido corporativo, a resposta a esse novo imperativo moldou a implementação da agenda ESG (Environmental, Social, and Governance). De acordo com relatórios estratégicos da McKinsey, a abordagem das organizações em relação ao ESG evoluiu de uma prática reativa para uma exigência sistemática indispensável para manter a "licença social para operar".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ESG passou a ser encarado como um processo contínuo e orgânico. Eventos globais, incluindo a crise pandêmica e tensões geopolíticas subsequentes, comprovaram que empresas desprovidas de uma estrutura ESG derivada de sua estratégia central enfrentam dificuldades crônicas para reagir a choques externos.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organizações mais inovadoras passaram a utilizar a cidadania corporativa como uma verdadeira arma contra desafios existenciais.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metodologia para essa transição envolve quatro etapas cruciais: o mapeamento do ecossistema de stakeholders, a definição de metas, a incorporação dessas diretrizes nas operações diárias e o engajamento contínuo.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Nesse processo de mapeamento, as empresas focam no que é genuinamente valorizado por seus públicos críticos. Funcionários engajados demonstram lealdade superior, enquanto consumidores — com destaque notório para a Geração Z — priorizam o consumo ético, a transparência e a igualdade.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Pesquisas indicam que marcas que operam com um propósito subjacente claro crescem em um ritmo duas vezes mais acelerado do que aquelas focadas exclusivamente na maximização do lucro trimestral.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organizações são orientadas a identificar seus "superpoderes" e suas vulnerabilidades. Superpoderes representam capacidades específicas que permitem um impacto diferenciado e inimitável, a exemplo da Natura &amp; Co., que utiliza a biodiversidade de seu território natal na Amazônia para promover soluções climáticas baseadas na natureza.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 contrapartida, as vulnerabilidades refletem as expectativas mínimas que a sociedade exige que a empresa atenda para não sofrer boicotes.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Contudo, enquanto grandes corporações possuem orçamentos dedicados para promover essa transição e elaborar relatórios de sustentabilidade complexos, as pequenas e médias empresas (PMEs) enfrentam um cenário de sobrevivência árduo, carecendo de capital e infraestrutura tecnológica para integrar essas boas práticas em seu cotidiano.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escrutínio acadêmico sobre critérios ESG tem ganhado cada vez mais espaço, revelando nuances importantes sobre o desempenho corporativo.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Análises da volatilidade e do valor de mercado de firmas sustentáveis durante a pandemia mostraram dinâmicas distintas de dispersão de dados quando comparadas a empresas não listadas em índices de sustentabilidade, reafirmando que o mercado de capitais precifica o risco climático e social com precisão cirúrgica.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Empresas paradigmáticas, como a Ambipar, foram objeto de estudos que analisaram como o Triple Bottom Line (TBL) se materializa em relatórios de sustentabilidade auditados, permitindo observar padrões replicáveis de alinhamento entre o desempenho econômico e as práticas ESG, conforme recomendações metodológicas rigorosas de especialistas em estratégia.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Dimensão Estratégica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Comportamento Pré-Pandemia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Comportamento Pós-Pandemia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Implicações para o Modelo de Negócios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Critério de Consumo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Foco unívoco na relação preço-conveniência.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Foco na interdependência entre saúde, transparência (70%) e impacto ambiental.</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Necessidade premente de rastreabilidade das cadeias produtivas e comunicação de propósito claro.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Abordagem ESG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Departamento isolado; ações filantrópicas desconectadas do núcleo comercial.</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ESG como processo estratégico contínuo, ancorando a "licença social para operar".</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Práticas ambientais tornam-se ferramentas de resiliência e diferenciação competitiva (Superpoderes).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Inovação Corporativa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Transformação digital vista como um custo operacional futuro.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Conectividade tratada como infraestrutura de sobrevivência e expansão.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Aceleração na adoção de e-commerce, automação preditiva e modelos de recompensa digital integrados.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Capacidade de PMEs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Foco exclusivo em fluxo de caixa operacional.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Exigência indireta de adequação às normas ambientais pelas grandes cadeias de suprimento.</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Demanda latente por plataformas terceirizadas (como o GoodPay) para viabilizar e reportar ações sustentáveis sem alto custo.</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biênio 2024-2025, o panorama climático solidificou-se como uma emergência inquestionável.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responsabilidade pela mitigação recai sobre toda a estrutura social, demandando transformações significativas. As práticas ESG contribuem substancialmente para atenuar o impacto das atividades industriais, exigindo governança eficaz para promover a prestação de contas (accountability) e o desenvolvimento de soluções equitativas.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Observa-se um crescimento vertiginoso em investimentos destinados a energias renováveis — solar, eólica, hidrelétrica e biomassa —, bem como um interesse agudo em tecnologias de ponta, como o hidrogênio verde e sistemas de Armazenamento de Energia de Longa Duração (LDES).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Diante deste cenário macroeconômico de reavaliação de valores, a economia sustentável requer mecanismos práticos que incorporem o cidadão comum nesse esforço colossal. É nesse vácuo que a inovação tecnológica financeira propõe a unificação do desejo humano por recompensa financeira à necessidade premente de restauração ambiental.</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Mecânica Operacional da Troca de Ações ESG por Pontos de Cashback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evolução dos programas de incentivo ao consumidor encontrou no sistema de "cashback" — termo originário do inglês que significa literalmente "dinheiro de volta" — sua manifestação mais eficiente e transparente. Diferentemente dos intrincados e frequentemente opacos programas de milhagens ou cartões de pontos que dominavam o varejo nas últimas décadas, o cashback provou ser um modelo de compras superior ao devolver parte do capital transacionado diretamente para o poder aquisitivo do indivíduo.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Em pouco tempo, usuários assíduos passaram a acumular retornos financeiros expressivos, adquirindo bens de alto valor agregado a partir dos saldos gerados em compras rotineiras.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No entanto, especialistas financeiros alertam que existem distinções cruciais na arquitetura desses sistemas: enquanto alguns modelos de cashback são sustentáveis e lastreados em margens reais de negociação entre as partes, outros operam queimando capital de risco (venture capital) unicamente para inflar artificialmente a base de usuários, uma estratégia de duração efêmera.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verdadeira disrupção no mercado contemporâneo não é a simples devolução do dinheiro, mas a requalificação desse mecanismo através do chamado "Cashback Sustentável" ou "Cashback Ambiental".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premissa central é atuar como uma ferramenta poderosa de incentivo econômico para induzir os consumidores a adotarem hábitos de compra conscientes e responsáveis, fundindo o benefício financeiro direto à ética ambiental.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funcionamento da troca de ações corporativas ou individuais em critérios ESG por pontos de cashback opera através de uma complexa teia de integrações tecnológicas e financeiras. Na sua essência, o sistema direciona uma porcentagem do valor gasto em uma transação comercial para duas frentes distintas, porém complementares. Ao adquirir um produto ou serviço de empresas que adotam e comprovam boas práticas sustentáveis, o consumidor não apenas ganha uma porcentagem de volta para o seu próprio bolso, mas também ativa um gatilho financeiro que destina outra parte do recurso para ações estruturadas de restauração ambiental.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pioneirismo de iniciativas como o Cashback Ambiental da organização Carbon Free ilustra perfeitamente essa mecânica na prática.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Quando uma corporação contrata a compensação de carbono de suas atividades, o valor investido não se dilui em instrumentos puramente abstratos ou certificados invisíveis. Uma parcela significativa do recurso é revertida para o plantio georreferenciado de árvores nativas, integrando o processo financeiro à vivência tátil e prática no território.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 cashback, neste contexto, permite que colaboradores e clientes visualizem o impacto físico da ação climática, criando um propósito compartilhado.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É imperativo ressaltar que essa modalidade não substitui os rigores técnicos do inventário de gases de efeito estufa (GHG) exigidos pelas normativas globais, mas atua como uma camada complementar e humanizada dessa jornada institucional.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Esse mecanismo concebe um fenômeno que a literatura acadêmica denomina como "Ciclo de Feedback Positivo" ou "Ciclo Positivo de Impacto".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engajamento se retroalimenta da seguinte maneira: Primeiramente, ocorre o estímulo direto à demanda. O consumidor, motivado pelas recompensas financeiras palpáveis e pelo senso de virtude moral, altera seu comportamento de compra, passando a direcionar seu capital exclusivamente para empresas que integram esse ecossistema verde.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Em segundo lugar, a resposta mercadológica das empresas é imediata. Diante do aumento mensurável do interesse, do tráfego de clientes e, consequentemente, das vendas, as corporações são economicamente coagidas a refinar e adotar políticas de sustentabilidade muito mais rigorosas — reduzindo emissões de carbono, otimizando o uso de água e implementando embalagens flexíveis e recicláveis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 simplesmente para manterem o direito de participar desses programas de cashback qualificado.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Em terceiro lugar, a infraestrutura analítica atua. A aplicação de inteligência artificial e algoritmos de processamento de dados massivos analisa o rastro de carbono dessas aquisições, fornecendo relatórios dinâmicos tanto para as empresas ajustarem suas rotas produtivas quanto para os consumidores atestarem a veracidade de seu impacto socioambiental.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Por fim, essa conjunção de fatores força uma transformação integral do mercado, convertendo a sustentabilidade de uma obrigação regulatória em um diferencial competitivo indispensável.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Programas inovadores, como o norte-americano Aspiration, evidenciaram o sucesso dessa tese ao oferecer retornos financeiros substanciais (como até 10% de cashback) em estabelecimentos auditados por boas práticas.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tokenização de ativos ESG via tecnologia blockchain atua como o motor de combustão interna desse sistema de trocas, resolvendo o crônico problema de liquidez, rastreabilidade e confiança que historicamente assombrou os mercados voluntários de carbono.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urgência gerada pelas mudanças climáticas fomentou tratados internacionais como o Protocolo de Quioto (1997) e o Acordo de Paris (2015), que pavimentaram o arcabouço para o comércio de direitos de emissão.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Recentemente, convenções globais introduziram mecanismos sofisticados para abordagens cooperativas voluntárias, permitindo a transferência de Resultados de Mitigação Transferidos Internacionalmente (ITMOs) entre nações sob estrita supervisão governamental.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Nesse cenário de extrema complexidade regulatória, a "tokenização de ativos", ou a emissão de representações digitais de ativos do mundo real em uma rede blockchain, emerge como a solução definitiva.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tokenização transforma reduções certificadas de emissões em ativos negociáveis, fracionáveis e transparentes.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Ao converter um crédito de carbono em um token digital, ele adquire as características de liquidez de uma moeda, permitindo que seja incorporado como saldo na carteira de cashback de um usuário de varejo.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Sob a ótica regulatória e tecnológica no Brasil, o debate avança sobre as nomenclaturas jurídicas desses tokens, especialmente sob a luz da Lei 14.478 (Marco Legal dos Criptoativos). Especialistas debatem que a conversão de um crédito de carbono não regulado para um ativo criptográfico não deve configurar, por si só, uma hipótese de incidência tributária isolada, pois consiste essencialmente na alteração da roupagem tecnológica do ativo.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Utilizando um paralelo técnico do universo das finanças descentralizadas (DeFi), o processo é análogo ao "envelopamento" de um ativo, como a conversão de um Bitcoin nativo para um </w:t>
      </w:r>
      <w:r w:rsidDel="00000000" w:rsidR="00000000" w:rsidRPr="00000000">
        <w:rPr>
          <w:rFonts w:ascii="Google Sans" w:cs="Google Sans" w:eastAsia="Google Sans" w:hAnsi="Google Sans"/>
          <w:i w:val="1"/>
          <w:iCs w:val="1"/>
          <w:color w:val="1f1f1f"/>
          <w:rtl w:val="0"/>
        </w:rPr>
        <w:t xml:space="preserve">Wrapped Bitcoin</w:t>
      </w:r>
      <w:r w:rsidDel="00000000" w:rsidR="00000000" w:rsidRPr="00000000">
        <w:rPr>
          <w:rFonts w:ascii="Google Sans" w:cs="Google Sans" w:eastAsia="Google Sans" w:hAnsi="Google Sans"/>
          <w:color w:val="1f1f1f"/>
          <w:rtl w:val="0"/>
        </w:rPr>
        <w:t xml:space="preserve"> (wBTC) a fim de obter interoperabilidade e ser lido por contratos inteligentes (smart contracts) na rede Ethereum.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Essa interoperabilidade é o que viabiliza que métricas de carbono, outrora confinadas a pesados balanços corporativos, transitem fluidamente como pontos de fidelidade resgatáveis nos aplicativos móveis de milhões de indivíduos.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Dessa forma, um investidor que opta por esse arranjo cria um ciclo virtuoso, impulsionando a descarbonização ao mesmo tempo em que aufere rendimentos e usufrui de diversificação em sua carteira financeira.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Impacto e Benefícios Estruturais para o Sistema Financeiro Tradicional e Descentralizado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avanço da economia sustentável e sua ramificação para o varejo através dos pontos de cashback não representam apenas uma modernização dos programas de fidelidade, mas exercem um impacto monumental nas entranhas operacionais do sistema financeiro global. Instituições financeiras, corporações bancárias de varejo e investimento, e as ágeis fintechs encontram-se em uma posição ímpar; elas detêm a alavanca central que pode influenciar simultaneamente suas operações internas, a alocação de crédito para cadeias produtivas inteiras e o comportamento transacional de milhões de clientes corporativos e pessoas físicas.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Em um momento histórico que demanda o envolvimento ativo de múltiplos atores para frear a degradação sistêmica, o mercado financeiro possui a responsabilidade fiduciária de capitanear essa transição sustentável.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Nos últimos ciclos econômicos, organizações do setor bancário e gestoras de patrimônio passaram a integrar de maneira profunda os critérios ESG em suas sofisticadas matrizes de análise de risco e decisões de alocação de investimento.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Relatórios produzidos por auditorias globais como a KPMG destacam repetidamente que a incorporação mandatória dessas métricas ambientais e de governança mitiga incertezas operacionais severas e revela oportunidades lucrativas latentes, resultando em portfólios financeiros inegavelmente mais robustos e rentáveis no longo prazo.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Práticas defendidas pelo movimento global "Sistema B" (B-Corps), que visam equalizar a busca pelo lucro com o impacto socioambiental positivo, têm pautado a reestruturação da governança de grandes fundos e a redução drástica da pegada de carbono em suas próprias operações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os anos de 2024 e 2025, análises projetam que a eficácia dessas regulações passará por testes empíricos de fogo.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implementação de relatórios de conformidade exigentes na União Europeia, tais como a Diretiva de Relatórios de Sustentabilidade Corporativa (CSRD) e o Regulamento de Divulgação de Finanças Sustentáveis (SFDR), ao lado da implementação das diretrizes da Autoridade Europeia dos Valores Mobiliários e dos Mercados (ESMA), colocará um fim definitivo às ambiguidades do "greenwashing".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Apesar do cenário global enfrentar tensões geopolíticas exacerbadas e do desafio hercúleo de honrar os compromissos climáticos assumidos por 110 países que representam 88% das emissões globais, o investimento sustentável tem demonstrado uma resiliência extraordinária, guiado pela convicção inabalável de que a performance financeira a longo prazo é intrínseca à estabilidade ambiental.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Nesse horizonte de forte regulação, as métricas ESG transformaram-se em critérios eliminatórios para o acesso ao financiamento corporativo.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Instituições tradicionais, a exemplo do Bankinter no mercado europeu, implementaram consultorias de acompanhamento específico para estruturar candidaturas a vultosos Fundos Comunitários de subsídio.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injeção desses recursos públicos e privados exige a apresentação de evidências empíricas e um reporting contínuo e sustentado das práticas ESG da organização candidata.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Isso evidencia que a adoção dessas políticas tornou-se a chave mestra para desbloquear instrumentos financeiros avançados, juros subsidiados e linhas de crédito verde (Green Bonds).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sinergia entre o cashback ambiental e a tokenização de ativos reais (RWA - Real World Assets) multiplica exponencialmente a eficiência desse ecossistema. A tokenização redesenha o papel histórico dos atores do ecossistema financeiro, injetando liquidez onde antes havia imobilização de capital.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Ao fracionar grandes projetos agroecológicos, concessões florestais ou instalações de energia renovável em tokens digitais, plataformas permitem que investidores de pequeno porte participem de infraestruturas que outrora exigiam capital institucional bilionário.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eficiência técnica alcançada inclui a redução abrupta dos custos de intermediação, a aceleração radical nos processos de custódia e liquidação de títulos e a minimização de riscos de fraude, uma vez que a natureza criptográfica da blockchain impede adulterações retroativas.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advento do Open Finance (Sistema Financeiro Aberto) serve como o conduíte tecnológico final para essa integração.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capacidade de compartilhar dados financeiros com consentimento prévio, aliada a rigorosos protocolos de cibersegurança e inovação, humaniza o conhecimento bancário.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Empréstimos, seguros, financiamentos e participações no mercado de capitais podem ser modelados de acordo com o "score verde" de um usuário, construído a partir de seus hábitos de consumo via plataformas de cashback sustentável. Assim, a mobilização de trilhões em recursos ociosos passa a fomentar negócios focados em conservação, enquanto remunera o varejo e garante o cumprimento das agendas climáticas corporativas.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Benefício Financeiro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no Sistema Tradicional (Bancos/Gestoras)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no Sistema Descentralizado e Varejo (Fintechs/Usuários)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Mitigação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Redução da exposição a empresas com alto risco de passivos ambientais e sanções regulatórias.</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consumidor acessa carteiras de tokens que demonstram menor volatilidade em cenários de crise.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Eficiência e Liquidez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Aceleração nas auditorias de conformidade (CSRD/SFDR) e redução do custo de emissão de dívida (Green Bonds).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Transformação de créditos de carbono ilíquidos em moeda de troca diária (cashback resgatável).</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Inclusão Financeira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Acesso a novos perfis de clientes por meio do Open Finance estruturado.</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Pequenos investidores financiam diretamente projetos de energia limpa com aportes fracionados.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Acesso 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Governos e Bancos impõem ESG como critério vinculante para a liberação de subsídios de fomento.</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PMEs e Startups utilizam os relatórios gerados pelos tokens ambientais para garantir credibilidade de mercado.</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Ecossistema GoodPay: Filosofia, Valores e a Motivação do Empreendedorismo de Impacto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concepção de uma startup voltada para a reengenharia do consumo por meio de soluções financeiras verdes nasce de uma inquietação fundamental com o status quo do mercado capitalista. O empreendedorismo contemporâneo não pode mais se dar ao luxo de construir negócios que resolvem apenas atritos transacionais; é mandatório construir soluções que equacionem dilemas civilizatórios. O GoodPay emerge desse princípio como uma plataforma catalisadora que não se contenta em processar pagamentos ou distribuir pontos genéricos, mas que assume a responsabilidade deliberada de alinhar as engrenagens do varejo diário à restauração sistemática da biosfera.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filosofia do GoodPay repousa sobre a crença de que a economia não é um jogo de soma zero. O modelo obsoleto de startups financeiras — focado exclusivamente na hiper expansão através da queima agressiva e insustentável de caixa (cash-burning) para subsidiar descontos e monopolizar fatias de mercado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 provou sua fragilidade estrutural repetidas vezes. A motivação empreendedora por trás do GoodPay é a consagração do que se define como "rentabilidade com propósito". A startup atua na constatação óbvia, porém frequentemente ignorada, de que a população mundial possui um desejo inato de contribuir para a salvação climática, mas encontra imensas barreiras financeiras e informacionais para fazê-lo em sua rotina.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Ao monetizar a sustentabilidade para o cidadão comum, o peso moral é substituído pelo incentivo econômico, criando uma via de fluxo ininterrupto de capital para o desenvolvimento ambiental e social.</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Arquétipo Filosófico: Missão, Visão e Valores ESG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espinha dorsal de qualquer empreendimento duradouro é a clareza insofismável de seus princípios orientadores.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Pesquisas rigorosas publicadas na literatura de gestão, como o influente estudo do professor Chris Bart em 1998, demonstraram uma correlação positiva e significativa entre a performance organizacional excepcional e a articulação de declarações de missão coesas, especialmente quando estas são desenvolvidas com a profunda adesão ("buy-in") dos executivos e colaboradores envolvidos.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Diferenciando-se das métricas tangíveis, como código de programação ou balanços patrimoniais, a missão atua como o principal condutor de valor intangível, alinhando funcionários, acionistas, clientes e a percepção pública em direção a um fim comum.</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Empresas que definem os rumos da civilização adotam missões memoráveis e aspiracionais.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Por exemplo, a Apple visa proporcionar a melhor experiência de usuário através da inovação de hardware e software; a Procter &amp; Gamble busca melhorar a vida dos consumidores ao redor do globo; o Reddit procura trazer senso de comunidade a todos; e a Nike inspira inovação em cada corpo em movimento.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 GoodPay, inspirando-se nessas formulações icônicas, estruturou sua própria arquitetura corporativa para não ser apenas mais um aceno retórico.</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Missão</w:t>
      </w:r>
      <w:r w:rsidDel="00000000" w:rsidR="00000000" w:rsidRPr="00000000">
        <w:rPr>
          <w:rFonts w:ascii="Google Sans" w:cs="Google Sans" w:eastAsia="Google Sans" w:hAnsi="Google Sans"/>
          <w:color w:val="1f1f1f"/>
          <w:rtl w:val="0"/>
        </w:rPr>
        <w:t xml:space="preserve"> do GoodPay é: </w:t>
      </w:r>
      <w:r w:rsidDel="00000000" w:rsidR="00000000" w:rsidRPr="00000000">
        <w:rPr>
          <w:rFonts w:ascii="Google Sans" w:cs="Google Sans" w:eastAsia="Google Sans" w:hAnsi="Google Sans"/>
          <w:i w:val="1"/>
          <w:iCs w:val="1"/>
          <w:color w:val="1f1f1f"/>
          <w:rtl w:val="0"/>
        </w:rPr>
        <w:t xml:space="preserve">"Revolucionar o sistema financeiro global através do poder do consumo cotidiano, transformando cada transação financeira em um instrumento rentável de democratização econômica e restauração ambiental em escala global"</w:t>
      </w:r>
      <w:r w:rsidDel="00000000" w:rsidR="00000000" w:rsidRPr="00000000">
        <w:rPr>
          <w:rFonts w:ascii="Google Sans" w:cs="Google Sans" w:eastAsia="Google Sans" w:hAnsi="Google Sans"/>
          <w:color w:val="1f1f1f"/>
          <w:rtl w:val="0"/>
        </w:rPr>
        <w:t xml:space="preserve">. Essa declaração engloba o propósito fundamental (a razão de existir do negócio), os objetivos amplos e a clareza sobre o público servido.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w:t>
      </w:r>
      <w:r w:rsidDel="00000000" w:rsidR="00000000" w:rsidRPr="00000000">
        <w:rPr>
          <w:rFonts w:ascii="Google Sans" w:cs="Google Sans" w:eastAsia="Google Sans" w:hAnsi="Google Sans"/>
          <w:b w:val="1"/>
          <w:bCs w:val="1"/>
          <w:color w:val="1f1f1f"/>
          <w:rtl w:val="0"/>
        </w:rPr>
        <w:t xml:space="preserve">Valores Centrais (Core Values)</w:t>
      </w:r>
      <w:r w:rsidDel="00000000" w:rsidR="00000000" w:rsidRPr="00000000">
        <w:rPr>
          <w:rFonts w:ascii="Google Sans" w:cs="Google Sans" w:eastAsia="Google Sans" w:hAnsi="Google Sans"/>
          <w:color w:val="1f1f1f"/>
          <w:rtl w:val="0"/>
        </w:rPr>
        <w:t xml:space="preserve"> do GoodPay são intimamente calibrados com as exigências dos relatórios ESG internacionais, similares aos princípios adotados por corporações focadas em ética irrestrita, como a Foundry.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Esses valores buscam motivar a equipe interna, fornecer segurança jurídica e assegurar a resiliência a longo prazo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Educação e Consciência (Educate):</w:t>
      </w:r>
      <w:r w:rsidDel="00000000" w:rsidR="00000000" w:rsidRPr="00000000">
        <w:rPr>
          <w:rFonts w:ascii="Google Sans" w:cs="Google Sans" w:eastAsia="Google Sans" w:hAnsi="Google Sans"/>
          <w:color w:val="1f1f1f"/>
          <w:rtl w:val="0"/>
        </w:rPr>
        <w:t xml:space="preserve"> Liderar a comunicação didática sobre economia limpa, conscientizando usuários e parceiros comerciais sobre o impacto profundo de pequenas ações, disseminando a educação financeira e humanizando o acesso ao crédito.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Mensuração e Transparência Radical (Measure and Reduce):</w:t>
      </w:r>
      <w:r w:rsidDel="00000000" w:rsidR="00000000" w:rsidRPr="00000000">
        <w:rPr>
          <w:rFonts w:ascii="Google Sans" w:cs="Google Sans" w:eastAsia="Google Sans" w:hAnsi="Google Sans"/>
          <w:color w:val="1f1f1f"/>
          <w:rtl w:val="0"/>
        </w:rPr>
        <w:t xml:space="preserve"> Toda ação deve ser quantificada. O compromisso do GoodPay é atuar com um livro-razão aberto (blockchain), garantindo a auditoria de suas metas sociais e ambientais e minimizando os impactos negativos tanto nas comunidades locais quanto ao longo de sua extensa rede de fornecedores (supply chain).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Inovação a Serviço da Inclusão (Governance and Social):</w:t>
      </w:r>
      <w:r w:rsidDel="00000000" w:rsidR="00000000" w:rsidRPr="00000000">
        <w:rPr>
          <w:rFonts w:ascii="Google Sans" w:cs="Google Sans" w:eastAsia="Google Sans" w:hAnsi="Google Sans"/>
          <w:color w:val="1f1f1f"/>
          <w:rtl w:val="0"/>
        </w:rPr>
        <w:t xml:space="preserve"> Estruturar parcerias corporativas não apenas para gerar lucro, mas para assegurar a ética no uso da inteligência artificial, promover a diversidade no mercado de trabalho e garantir o desenvolvimento socioeconômico de ecossistemas vulneráveis.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Psicologia Financeira: O Declínio do Desconto e o Império do Cashback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barreira considerável no empreendedorismo de plataformas financeiras, especialmente ao abordar o varejo tradicional (o ambiente das lojas físicas e e-commerces regionais), é reeducar o comerciante sobre a eficiência do capital. Historicamente, quando um lojista desejava movimentar seu estoque, a manobra instintiva era a aplicação de um corte linear no preço de etiqueta — o clássico desconto.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No entanto, o paradigma do varejo demonstra que o desconto tradicional em um serviço ou produto é um evento único, estático, que deprecia imediatamente a percepção de valor da marca, corrói permanentemente o faturamento projetado da empresa e raramente garante o retorno do consumidor.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introduzir o conceito de cashback no varejo brasileiro, pioneiros como a plataforma Beblue — que desde 2016 operou mais de R$ 1 bilhão em transações e distribuiu R$ 50 milhões em recompensas por meio de milhões de downloads e milhares de credenciados — provaram que a devolução fracionada do dinheiro constrói um ecossistema vivo de conectividade.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motivação do GoodPay apoia-se firmemente nessa psicologia do consumo: estudos analíticos e pesquisas de mercado apontam consistentemente que a percepção cognitiva e o valor intrínseco de um retorno em cashback são percebidos pelo cérebro humano como sendo cerca de sete vezes maiores do que a percepção de um simples desconto de valor monetário equivalente aplicado no caixa.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O ato de "ganhar dinheiro de volta" ativa circuitos neurológicos de recompensa e empoderamento que superam imensamente o alívio provisório de "economizar" alguns reais. O consumidor retém aquele capital e, em tempos de busca por estabilidade financeira e consciência de classe, o poder de escolha sobre esse saldo acumulado estabelece uma fidelidade inquebrável com a plataforma e com a loja emissora.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Se esse ganho, por sua vez, for entrelaçado a um investimento no planeta (a troca por ativos verdes), o vínculo atinge seu grau máximo de excelência relacional.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Sinergias Comerciais e o Poder das Parcerias nos Modelos B2B e B2C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o monumental desafio de redirecionar fluxos de capital do consumismo desenfreado para uma economia sustentável se materialize, nenhuma startup pode atuar em um silo isolado. O GoodPay projeta seu crescimento através de uma orquestração sublime de diferentes arquiteturas de negócio, integrando com primazia as operações B2B (Business-to-Business) e B2C (Business-to-Consumer).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No emaranhado comercial atual, presenciamos uma ramificação de formatos, incluindo vendas D2C (Direct-to-Consumer), onde fabricantes pulam os varejistas, e interações C2C (Consumer-to-Consumer), dominantes em marketplaces de economia circular.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Contudo, a inovação disruptiva das plataformas financeiras de recompensas reside no modelo híbrido B2B2C, no qual a startup atua como o provedor tecnológico infraestrutural que sintoniza as necessidades de todas as partes.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arena de fidelização de clientes vive um período incrivelmente estratégico. O Brasil, assim como a América Latina como um todo, figura entre os mercados de maior promessa no cenário global.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Com consumidores vorazes pelo mundo digital, engajados e abertos ao compartilhamento ético de seus dados em troca de benefícios práticos, o país apresenta uma exuberância impressionante na área da lealdade.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 brasileiro comum já é membro ativo de uma média de 14 programas de fidelidade, um índice que supera substancialmente a média global de 10,72 programas, contrastando fortemente com mercados desenvolvidos, como o Reino Unido, onde a média cai para apenas 8 programas, indicando uma profunda "fadiga de fidelidade" por parte da população europeia.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Surpreendentemente, no topo das aspirações de benefícios exigidos por esse público engajado encontram-se os descontos diretos e o cashback, configurando o motivador supremo para 35,91% das interações, acompanhados de perto por uma demanda incisiva (71%) por experiências e ofertas radicalmente personalizadas aos seus perfis de vida.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B2B: Alianças Estratégicas e Rentabilização de Parceiros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parcerias B2B são fundamentalmente o alicerce financeiro que subsidia a distribuição de recompensas para os usuários finais. Essas conexões representam relações comerciais perfeitamente simbióticas, alavancando o co-branding (associação de marcas) para impulsionar métricas cruciais como o engajamento do cliente, o volume geral de vendas e o alinhamento mercadológico cruzado.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No ambiente B2B, diferentemente da alta sensibilidade a preços que domina o consumidor final, os tomadores de decisão corporativa focam o planejamento de longo prazo, buscando ferramentas tecnológicas que resolvam gargalos de eficiência e elevem seu Retorno Sobre o Investimento (ROI) de maneira tangível.</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funcionamento das parcerias no formato B2B exige sofisticação técnica e alinhamento de público-alvo.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Um exemplo análogo no universo corporativo ocorre quando uma prestadora de serviços contábeis integra suas ofertas com uma desenvolvedora de softwares de gestão fiscal: ambas promovem cruzadamente os produtos da outra, gerando </w:t>
      </w:r>
      <w:r w:rsidDel="00000000" w:rsidR="00000000" w:rsidRPr="00000000">
        <w:rPr>
          <w:rFonts w:ascii="Google Sans" w:cs="Google Sans" w:eastAsia="Google Sans" w:hAnsi="Google Sans"/>
          <w:i w:val="1"/>
          <w:iCs w:val="1"/>
          <w:color w:val="1f1f1f"/>
          <w:rtl w:val="0"/>
        </w:rPr>
        <w:t xml:space="preserve">leads</w:t>
      </w:r>
      <w:r w:rsidDel="00000000" w:rsidR="00000000" w:rsidRPr="00000000">
        <w:rPr>
          <w:rFonts w:ascii="Google Sans" w:cs="Google Sans" w:eastAsia="Google Sans" w:hAnsi="Google Sans"/>
          <w:color w:val="1f1f1f"/>
          <w:rtl w:val="0"/>
        </w:rPr>
        <w:t xml:space="preserve"> qualificados e consolidando a confiança depositada pelos respectivos clientes.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Aplicado à realidade do ecossistema GoodPay, a startup articula acordos diretos com megacorporações do varejo de eletrodomésticos, grupos de supermercadistas — um setor que concentra impressionantes 32,37% da participação global em fidelidade — e vastas redes de postos de combustíveis e conveniências.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Adicionalmente, instituições e gigantes do setor financeiro, a exemplo dos bancos digitais Nubank e Inter, rotineiramente oferecem em seus aplicativos o cashback condicionado à compra em lojas parceiras de sua malha de relacionamentos.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 grandes redes e PMEs que integram o programa, os benefícios do ecossistema B2B são imensuráveis: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Atração de Novos Mercados e Subsídio de Aquisição:</w:t>
      </w:r>
      <w:r w:rsidDel="00000000" w:rsidR="00000000" w:rsidRPr="00000000">
        <w:rPr>
          <w:rFonts w:ascii="Google Sans" w:cs="Google Sans" w:eastAsia="Google Sans" w:hAnsi="Google Sans"/>
          <w:color w:val="1f1f1f"/>
          <w:rtl w:val="0"/>
        </w:rPr>
        <w:t xml:space="preserve"> Marcas franqueadas podem expandir seu alcance geográfico e demográfico sem a necessidade de dispendiosas campanhas de publicidade fria, sendo recomendadas no aplicativo centralizado de recompensas do GoodPay e atraindo um consumidor ativamente em busca do percentual de retorno prometido.</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Transferência e Endosso de Integridade ESG:</w:t>
      </w:r>
      <w:r w:rsidDel="00000000" w:rsidR="00000000" w:rsidRPr="00000000">
        <w:rPr>
          <w:rFonts w:ascii="Google Sans" w:cs="Google Sans" w:eastAsia="Google Sans" w:hAnsi="Google Sans"/>
          <w:color w:val="1f1f1f"/>
          <w:rtl w:val="0"/>
        </w:rPr>
        <w:t xml:space="preserve"> Em vez de despenderem fortunas na criação de programas ambientais isolados e sujeitos ao escrutínio público, os lojistas B2B delegam o processamento sustentável ao GoodPay. Quando um percentual da venda daquela loja resulta efetivamente no plantio de uma árvore ou financiamento de energia solar (registrado em blockchain), a reputação ética da pequena padaria ou da gigantesca rede varejista é alavancada simultaneamente.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Plataformas de Autogestão:</w:t>
      </w:r>
      <w:r w:rsidDel="00000000" w:rsidR="00000000" w:rsidRPr="00000000">
        <w:rPr>
          <w:rFonts w:ascii="Google Sans" w:cs="Google Sans" w:eastAsia="Google Sans" w:hAnsi="Google Sans"/>
          <w:color w:val="1f1f1f"/>
          <w:rtl w:val="0"/>
        </w:rPr>
        <w:t xml:space="preserve"> Empreendimentos como a Elliscash demonstram que existe um vasto nicho de PMEs carentes de automatização. O fornecimento de um sistema autoadministrável onde o próprio comerciante define suas margens de retorno (cashback) e as regras específicas para resgate do saldo, promove inclusão e competitividade irrestrita frente aos grandes conglomerados.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eficácia dessa arquitetura de alianças reverbera diretamente na última linha do balanço contábil das empresas parceiras. Pesquisas empíricas conduzidas por analistas da Izio&amp;Co demonstram um resultado avassalador: a introdução do cashback promoveu uma aproximação transparente entre o cliente e o lojista de modo que, na base analisada de mais de um milhão de clientes recompensados em 2023, verificou-se que o gasto médio (ticket por pessoa) durante o retorno à loja parceira registrou uma expansão impressionante de 31,5%.</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Ainda mais notável, as avaliações globais reportaram que o mecanismo de recompra financiada via cashback chegou a ser responsável por um aumento estrondoso de 83,5% dos gastos totais nas reincidências de compra da mesma coorte de indivíduos.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Esta constatação empírica sepulta a ideia de que o subsídio devolvido pelo varejista destrói valor, confirmando que a inteligência de negócios acelera a ampliação e a formidável qualificação das vendas de forma veloz e sustentada.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B2C: Alteração de Hábitos e Educação pelo Comportamento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extremidade que toca o público em geral (B2C), o desafio transita do corporativo para o campo fascinante da economia comportamental. A interface com a qual o cidadão comum interage precisa ser desprovida de atritos mecânicos (frictionless) e permeada por elementos robustos de engajamento diário e "gamificação".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No seio de um país economicamente volátil, iniciativas que geram renda suplementar ou proteção contra o declínio do poder de compra possuem tração viral imediata. Startups brasileiras, tais como Risü e PontoE, despontaram ao criar interfaces dedicadas à pessoa física que permitem o fomento automático à cultura de doação ou ao investimento privado em educação baseando-se unicamente nas rotinas de gastos regulares.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aplicação dessa teoria pelo GoodPay significa criar um ambiente digital em que o consumidor final encontra valor exponencial ao unificar sua utilidade diária à sua consciência socioambiental. O aplicativo atua simultaneamente como carteira de pagamentos (wallet), catálogo de descontos qualificados e relator de evolução climática pessoal.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usuário consegue tangibilizar que a simples decisão de adquirir seus bens primários de subsistência na cadeia varejista A (parceira do GoodPay) em detrimento da rede B (desconectada e engessada), resultará no acúmulo garantido de capital líquido e, de maneira transparente, na compensação contínua de sua pegada ecológica através dos ativos digitais embutidos.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É uma vitória em três frentes: o usuário maximiza o uso de seu recurso financeiro em tempos de pressão inflacionária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o estabelecimento consolida seu faturamento recorrente via fidelização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 o planeta recolhe dividendos ecológicos diretos da atividade econômica organizada.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Infraestrutura Tecnológica: A Tríade da Confiabilidade via IoT, Inteligência Artificial e Smart Data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complexidade e a ambição de vincular cada microtransação do varejo global à imensidão intangível do mercado climático e do reflorestamento exige, impreterivelmente, a utilização do que há de mais avançado em infraestrutura de dados e conectividade. Toda a tese do cashback atrelado à performance ESG e à integridade do "Triple Bottom Line" implodiria rapidamente se as ações declaradas pudessem ser manipuladas ou forjadas.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arquitetura de verificação do GoodPay, portanto, é garantida de ponta a ponta pela confluência harmoniosa de tecnologias expoentes que capturam os dados na ponta física, os processam no meio digital e os validam na rede distribuída. Projeções detalhadas e otimistas publicadas pelo rigoroso Fórum Econômico Mundial (WEF) sublinham que a adoção extensiva e sistêmica de inovações digitais tem o potencial técnico exequível de reduzir as imensas emissões globais de carbono em um montante impressionante de até 20% nos setores mais poluentes da indústria ao longo da caminhada até o ano de 2050.</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validação primária, que transpõe as barreiras do mundo analógico e envia a informação para os servidores, é inteiramente subsidiada pela vasta adoção da Internet das Coisas (IoT - Internet of Things).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Em vez de depender de auto-relatos questionáveis preenchidos trimestralmente em planilhas por gestores de infraestrutura e </w:t>
      </w:r>
      <w:r w:rsidDel="00000000" w:rsidR="00000000" w:rsidRPr="00000000">
        <w:rPr>
          <w:rFonts w:ascii="Google Sans" w:cs="Google Sans" w:eastAsia="Google Sans" w:hAnsi="Google Sans"/>
          <w:i w:val="1"/>
          <w:iCs w:val="1"/>
          <w:color w:val="1f1f1f"/>
          <w:rtl w:val="0"/>
        </w:rPr>
        <w:t xml:space="preserve">facilities</w:t>
      </w:r>
      <w:r w:rsidDel="00000000" w:rsidR="00000000" w:rsidRPr="00000000">
        <w:rPr>
          <w:rFonts w:ascii="Google Sans" w:cs="Google Sans" w:eastAsia="Google Sans" w:hAnsi="Google Sans"/>
          <w:color w:val="1f1f1f"/>
          <w:rtl w:val="0"/>
        </w:rPr>
        <w:t xml:space="preserve">, uma malha contínua de sensores inteligentes conectados monitora os recursos operacionais 24 horas por dia, sete dias por semana.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Nas indústrias, os sensores IoT operam mapeando a pressão e a distribuição de água potável e industrial em tempo real, detectando vazamentos com agilidade e atestando a exatidão das medidas de economia hídrica que compõem os índices ESG daquela respectiva companhia de fornecimento.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Em complexos escritórios corporativos e shoppings centers (importantes elos B2B para o varejo), medidores IoT acompanham incansavelmente a emissão bruta de dióxido de carbono, níveis de ruído ambiente, sensores de presença para controle automático do fluxo humano, termostatos adaptáveis e o acionamento responsivo dos maquinários de HVAC (Heating, Ventilation, and Air Conditioning).</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 resultados empíricos derivados dessas implementações provam o valor da tecnologia além de qualquer dúvida razoável. Demonstrou-se, por meio de extensos testes de campo no setor de administração e operação de facilities, que uma única corporação, ao submeter seus sistemas analógicos de refrigeração e luminosidade ao controle de algoritmos de climatização inteligente providos pela infraestrutura IoT, registrou uma queda súbita e estrutural de cerca de 30% em toda a conta energética consolidada de seus escritórios centrais.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De maneira similar, iniciativas de higienização automatizada em pátios logísticos implementaram modelos como limpeza sob demanda em áreas de alto fluxo, estruturando lógicas operacionais de extrema eficiência para reduzir os colossais gastos com água, material de limpeza tóxico e homem-hora desnecessário.</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abundância estratosférica de dados provenientes dessa rede de sensores, usualmente caracterizada como </w:t>
      </w:r>
      <w:r w:rsidDel="00000000" w:rsidR="00000000" w:rsidRPr="00000000">
        <w:rPr>
          <w:rFonts w:ascii="Google Sans" w:cs="Google Sans" w:eastAsia="Google Sans" w:hAnsi="Google Sans"/>
          <w:i w:val="1"/>
          <w:iCs w:val="1"/>
          <w:color w:val="1f1f1f"/>
          <w:rtl w:val="0"/>
        </w:rPr>
        <w:t xml:space="preserve">Big Data</w:t>
      </w:r>
      <w:r w:rsidDel="00000000" w:rsidR="00000000" w:rsidRPr="00000000">
        <w:rPr>
          <w:rFonts w:ascii="Google Sans" w:cs="Google Sans" w:eastAsia="Google Sans" w:hAnsi="Google Sans"/>
          <w:color w:val="1f1f1f"/>
          <w:rtl w:val="0"/>
        </w:rPr>
        <w:t xml:space="preserve">, é crua e ilegível para a tomada de decisões pragmáticas até que seja refinada por complexos modelos matemáticos preditivos operados por Inteligência Artificial (IA).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 Inteligência Artificial assimila essa constelação de inputs e os converte magistralmente em relatórios dinâmicos, inteligíveis e à prova de fraude — o chamado </w:t>
      </w:r>
      <w:r w:rsidDel="00000000" w:rsidR="00000000" w:rsidRPr="00000000">
        <w:rPr>
          <w:rFonts w:ascii="Google Sans" w:cs="Google Sans" w:eastAsia="Google Sans" w:hAnsi="Google Sans"/>
          <w:i w:val="1"/>
          <w:iCs w:val="1"/>
          <w:color w:val="1f1f1f"/>
          <w:rtl w:val="0"/>
        </w:rPr>
        <w:t xml:space="preserve">Smart Data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Esses painéis de controle e monitoramento analítico munem os diretores executivos com provas irrefutáveis e certificações automáticas para comprovar perante auditores externos ou fundos de investimento as reais execuções de suas metas ambientais.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Tais processos apoiam decisivamente o enquadramento estrito de compliance, eliminando subjetividades e fortalecendo o </w:t>
      </w:r>
      <w:r w:rsidDel="00000000" w:rsidR="00000000" w:rsidRPr="00000000">
        <w:rPr>
          <w:rFonts w:ascii="Google Sans" w:cs="Google Sans" w:eastAsia="Google Sans" w:hAnsi="Google Sans"/>
          <w:i w:val="1"/>
          <w:iCs w:val="1"/>
          <w:color w:val="1f1f1f"/>
          <w:rtl w:val="0"/>
        </w:rPr>
        <w:t xml:space="preserve">reporting</w:t>
      </w:r>
      <w:r w:rsidDel="00000000" w:rsidR="00000000" w:rsidRPr="00000000">
        <w:rPr>
          <w:rFonts w:ascii="Google Sans" w:cs="Google Sans" w:eastAsia="Google Sans" w:hAnsi="Google Sans"/>
          <w:color w:val="1f1f1f"/>
          <w:rtl w:val="0"/>
        </w:rPr>
        <w:t xml:space="preserve"> para agências reguladoras (como a já citada norma CSRD da Europa), mitigando os riscos diretos e operacionais.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interligar essa inteligência capturada em instalações industriais aos aplicativos instalados nos aparelhos móveis das pessoas físicas que farão suas transações em uma farmácia de bairro, a infraestrutura técnica precisa fluir através de redes interligadas por APIs (Application Programming Interfaces) avançadas e seguras sob os preceitos do Open Finance.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Essa filosofia aberta permite que instituições concorrentes ou coligadas consintam no envio e recebimento dos históricos transacionais, quebras de sigilo bancário consentidas (para perfilar benefícios) e emissão instantânea de pontos.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No ápice da cadeia cibernética encontra-se o assentamento criptográfico desses ativos na malha Blockchain, assegurando a imutabilidade, evitando de forma cabal o duplo-gasto (double spending) em negociações de créditos de preservação de recursos, e consolidando a inviolabilidade do ecossistema e das transferências transfronteiriças.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Prospectivas para uma Era de Finanças Regenerativas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profunda reformulação dos mecanismos comerciais na transição para um horizonte pós-pandêmico evidenciou, com rara clareza, a total inadequação e falência dos antigos dogmas de gestão empresarial desenraizados da consciência socioambiental.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mera injeção de capital focado na expansão insustentável revelou sua extrema vulnerabilidade a rupturas na cadeia global, enquanto os modelos corporativos que internalizaram as diretrizes ESG comprovaram uma notável resiliência, assegurando um crescimento contínuo por meio da valorização fiduciária, do amparo governamental e, sobretudo, do fervoroso endosso popular manifestado por consumidores crescentemente seletivos.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engenharia financeira subjacente ao modelo de conversão sistêmica e descentralizada das ações ambientais mensuráveis (ESG) em frações líquidas resgatáveis (Cashback Sustentável) posiciona-se como uma força equalizadora singular nas finanças contemporâneas.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Ao resolver magistralmente o aparente conflito entre o lucro financeiro almejado pelo investidor individual e a urgente demanda de recomposição florestal pleiteada pela ciência e pela moral humanitária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tokenização democratiza o que antes era restrito a fechadas mesas de corretagem institucionais. O capital pulverizado nas mãos da população ganha tração, e os custos formidáveis para a execução de projetos limpos encontram lastro contínuo no consumo rotineiro do dia a dia da sociedade moderna.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panorama em acelerada maturação, empreendimentos inovadores que, assim como o projeto estrutural GoodPay, fincam seus pilares operativos sobre as rochas indestrutíveis da transparência radical de dados, de uma missão organizacional inspiradora e do desenvolvimento social abrangente, destacam-se categoricamente do ruído corporativo superficial e meramente performático.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 diferencial fundamental está em substituir metodologias depreciativas do passado — tais como o deflacionário e insustentável desconto no balcão físico — por ecossistemas prósperos de retenção B2B2C calcados no engajamento comportamental do ganho financeiro percebido através de pontuações estendidas.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Ao proporcionar aos seus parceiros varejistas um aumento robusto de mais de 31% no ticket médio e fomentar a recompra leal baseada no senso de pertencimento de comunidade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plataforma comprova categoricamente a solidez e a viabilidade mercantil inquestionável de sua tese central.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Sustentado por esse exército invisível e altamente responsivo de algoritmos de inteligência artificial de ponta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 redes neurais IoT incrustadas em facilities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 pelas inquebráveis regras de registro dos contratos inteligentes tokenizados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 ato outrora ordinário e banal do consumo global é assim promovido, em tempo real, a uma alavanca tática extraordinária capaz de subsidiar a imprescindível metamorfose da matriz produtiva planetária. A economia regenerativa, portanto, deixa definitivamente as confortáveis trincheiras das teorias e das teses acadêmicas de laboratório ambiental para ascender, de forma inexorável e imponente, ao cume dourado dos padrões de regência do futuro da economia mundializada.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Fique por dentro das principais tendências de mercado pós-pandemia - Randoncorp, acessado em março 3, 2026, </w:t>
      </w:r>
      <w:hyperlink r:id="rId6">
        <w:r w:rsidDel="00000000" w:rsidR="00000000" w:rsidRPr="00000000">
          <w:rPr>
            <w:rFonts w:ascii="Google Sans" w:cs="Google Sans" w:eastAsia="Google Sans" w:hAnsi="Google Sans"/>
            <w:color w:val="0000ee"/>
            <w:sz w:val="24"/>
            <w:szCs w:val="24"/>
            <w:u w:val="single"/>
            <w:rtl w:val="0"/>
          </w:rPr>
          <w:t xml:space="preserve">https://www.randoncorp.com/pt/blog/tendencias-de-mercado-pos-pandemia/</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Inovação e ética no consumo: O impacto da comunicação e do marketing na sustentabilidade pós-pandemia | The Trends Hub - IPP, acessado em março 3, 2026, </w:t>
      </w:r>
      <w:hyperlink r:id="rId7">
        <w:r w:rsidDel="00000000" w:rsidR="00000000" w:rsidRPr="00000000">
          <w:rPr>
            <w:rFonts w:ascii="Google Sans" w:cs="Google Sans" w:eastAsia="Google Sans" w:hAnsi="Google Sans"/>
            <w:color w:val="0000ee"/>
            <w:sz w:val="24"/>
            <w:szCs w:val="24"/>
            <w:u w:val="single"/>
            <w:rtl w:val="0"/>
          </w:rPr>
          <w:t xml:space="preserve">https://parc.ipp.pt/index.php/trendshub/article/view/6273</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tornar o ESG uma realidade | McKinsey, acessado em março 3, 2026, </w:t>
      </w:r>
      <w:hyperlink r:id="rId8">
        <w:r w:rsidDel="00000000" w:rsidR="00000000" w:rsidRPr="00000000">
          <w:rPr>
            <w:rFonts w:ascii="Google Sans" w:cs="Google Sans" w:eastAsia="Google Sans" w:hAnsi="Google Sans"/>
            <w:color w:val="0000ee"/>
            <w:sz w:val="24"/>
            <w:szCs w:val="24"/>
            <w:u w:val="single"/>
            <w:rtl w:val="0"/>
          </w:rPr>
          <w:t xml:space="preserve">https://www.mckinsey.com/featured-insights/destaques/como-tornar-o-esg-uma-realidade/pt</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Open-access COMPORTAMENTO ECOEMPREENDEDOR NO CONTEXTO PANDÊMICO - SciELO, acessado em março 3, 2026, </w:t>
      </w:r>
      <w:hyperlink r:id="rId9">
        <w:r w:rsidDel="00000000" w:rsidR="00000000" w:rsidRPr="00000000">
          <w:rPr>
            <w:rFonts w:ascii="Google Sans" w:cs="Google Sans" w:eastAsia="Google Sans" w:hAnsi="Google Sans"/>
            <w:color w:val="0000ee"/>
            <w:sz w:val="24"/>
            <w:szCs w:val="24"/>
            <w:u w:val="single"/>
            <w:rtl w:val="0"/>
          </w:rPr>
          <w:t xml:space="preserve">https://www.scielo.br/j/rae/a/kMGhrjsJjtLWHppW9MYwggS/?lang=pt</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Comportamento de Consumo - O que mudou em 2025? - Austral, acessado em março 3, 2026, </w:t>
      </w:r>
      <w:hyperlink r:id="rId10">
        <w:r w:rsidDel="00000000" w:rsidR="00000000" w:rsidRPr="00000000">
          <w:rPr>
            <w:rFonts w:ascii="Google Sans" w:cs="Google Sans" w:eastAsia="Google Sans" w:hAnsi="Google Sans"/>
            <w:color w:val="0000ee"/>
            <w:sz w:val="24"/>
            <w:szCs w:val="24"/>
            <w:u w:val="single"/>
            <w:rtl w:val="0"/>
          </w:rPr>
          <w:t xml:space="preserve">https://austral.media/comportamento-de-consumo-o-que-mudou-em-2025/</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INFLUÊNCIA DA PANDEMIA POR COVID-19 NAS ESTRATÉGIAS DE SUSTENTABILIDADE: EFEITOS NA REPUTAÇÃO CORPORATIVA EM PORTUGAL Dis - Universidade Católica Portuguesa, acessado em março 3, 2026, </w:t>
      </w:r>
      <w:hyperlink r:id="rId11">
        <w:r w:rsidDel="00000000" w:rsidR="00000000" w:rsidRPr="00000000">
          <w:rPr>
            <w:rFonts w:ascii="Google Sans" w:cs="Google Sans" w:eastAsia="Google Sans" w:hAnsi="Google Sans"/>
            <w:color w:val="0000ee"/>
            <w:sz w:val="24"/>
            <w:szCs w:val="24"/>
            <w:u w:val="single"/>
            <w:rtl w:val="0"/>
          </w:rPr>
          <w:t xml:space="preserve">https://repositorio.ucp.pt/bitstreams/9b0d3766-5682-4296-9648-0b51ae23c608/download</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Sustentabilidade e a Covid-19 afetam o Desempenho, o Valor e o Risco de Firmas no Brasil? - UFU, acessado em março 3, 2026, </w:t>
      </w:r>
      <w:hyperlink r:id="rId12">
        <w:r w:rsidDel="00000000" w:rsidR="00000000" w:rsidRPr="00000000">
          <w:rPr>
            <w:rFonts w:ascii="Google Sans" w:cs="Google Sans" w:eastAsia="Google Sans" w:hAnsi="Google Sans"/>
            <w:color w:val="0000ee"/>
            <w:sz w:val="24"/>
            <w:szCs w:val="24"/>
            <w:u w:val="single"/>
            <w:rtl w:val="0"/>
          </w:rPr>
          <w:t xml:space="preserve">https://repositorio.ufu.br/bitstream/123456789/39743/1/SustentabilidadeCOVID19Afetam.pdf</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Desempenho Financeiro e Sustentabilidade Corporativa: Evidências do ISE-B3 2025 - INTERFERENCE, acessado em março 3, 2026, </w:t>
      </w:r>
      <w:hyperlink r:id="rId13">
        <w:r w:rsidDel="00000000" w:rsidR="00000000" w:rsidRPr="00000000">
          <w:rPr>
            <w:rFonts w:ascii="Google Sans" w:cs="Google Sans" w:eastAsia="Google Sans" w:hAnsi="Google Sans"/>
            <w:color w:val="0000ee"/>
            <w:sz w:val="24"/>
            <w:szCs w:val="24"/>
            <w:u w:val="single"/>
            <w:rtl w:val="0"/>
          </w:rPr>
          <w:t xml:space="preserve">https://interferencejournal.emnuvens.com.br/revista/article/download/346/346/604</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Investimentos em práticas de ESG são cruciais para as empresas ..., acessado em março 3, 2026, </w:t>
      </w:r>
      <w:hyperlink r:id="rId14">
        <w:r w:rsidDel="00000000" w:rsidR="00000000" w:rsidRPr="00000000">
          <w:rPr>
            <w:rFonts w:ascii="Google Sans" w:cs="Google Sans" w:eastAsia="Google Sans" w:hAnsi="Google Sans"/>
            <w:color w:val="0000ee"/>
            <w:sz w:val="24"/>
            <w:szCs w:val="24"/>
            <w:u w:val="single"/>
            <w:rtl w:val="0"/>
          </w:rPr>
          <w:t xml:space="preserve">https://www.deloitte.com/br/pt/services/consulting-risk/perspectives/Artigo-Investimentos-ESG-2024.html</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Cashback: conheça o novo modelo de compras que devolve dinheiro - Forbes Brasil, acessado em março 3, 2026, </w:t>
      </w:r>
      <w:hyperlink r:id="rId15">
        <w:r w:rsidDel="00000000" w:rsidR="00000000" w:rsidRPr="00000000">
          <w:rPr>
            <w:rFonts w:ascii="Google Sans" w:cs="Google Sans" w:eastAsia="Google Sans" w:hAnsi="Google Sans"/>
            <w:color w:val="0000ee"/>
            <w:sz w:val="24"/>
            <w:szCs w:val="24"/>
            <w:u w:val="single"/>
            <w:rtl w:val="0"/>
          </w:rPr>
          <w:t xml:space="preserve">https://forbes.com.br/negocios/2019/04/cashback-o-modelo-de-compras-que-devolve-o-dinheiro/</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Cashback: recompensa em dinheiro tira terreno de programas de cartão e milhagens, acessado em março 3, 2026, </w:t>
      </w:r>
      <w:hyperlink r:id="rId16">
        <w:r w:rsidDel="00000000" w:rsidR="00000000" w:rsidRPr="00000000">
          <w:rPr>
            <w:rFonts w:ascii="Google Sans" w:cs="Google Sans" w:eastAsia="Google Sans" w:hAnsi="Google Sans"/>
            <w:color w:val="0000ee"/>
            <w:sz w:val="24"/>
            <w:szCs w:val="24"/>
            <w:u w:val="single"/>
            <w:rtl w:val="0"/>
          </w:rPr>
          <w:t xml:space="preserve">https://www.infomoney.com.br/consumo/cashback-recompensa-em-dinheiro-tira-terreno-de-programas-de-cartao-e-milhagens/</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Cashback Ambiental da Carbon Free: quando propósito, comunidade e natureza se encontram, acessado em março 3, 2026, </w:t>
      </w:r>
      <w:hyperlink r:id="rId17">
        <w:r w:rsidDel="00000000" w:rsidR="00000000" w:rsidRPr="00000000">
          <w:rPr>
            <w:rFonts w:ascii="Google Sans" w:cs="Google Sans" w:eastAsia="Google Sans" w:hAnsi="Google Sans"/>
            <w:color w:val="0000ee"/>
            <w:sz w:val="24"/>
            <w:szCs w:val="24"/>
            <w:u w:val="single"/>
            <w:rtl w:val="0"/>
          </w:rPr>
          <w:t xml:space="preserve">https://carbonfreebrasil.com/blog/cashback-ambiental-do-carbon-free-plantando-arvores-nativas/</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Reimaginando Compras: O Papel do Cashback em Consumo ..., acessado em março 3, 2026, </w:t>
      </w:r>
      <w:hyperlink r:id="rId18">
        <w:r w:rsidDel="00000000" w:rsidR="00000000" w:rsidRPr="00000000">
          <w:rPr>
            <w:rFonts w:ascii="Google Sans" w:cs="Google Sans" w:eastAsia="Google Sans" w:hAnsi="Google Sans"/>
            <w:color w:val="0000ee"/>
            <w:sz w:val="24"/>
            <w:szCs w:val="24"/>
            <w:u w:val="single"/>
            <w:rtl w:val="0"/>
          </w:rPr>
          <w:t xml:space="preserve">https://online.pucrs.br/blog/cashback-sustentavel</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Consumo Sustentável: Cashback em Compras com Boas Práticas - PUCRS Online, acessado em março 3, 2026, </w:t>
      </w:r>
      <w:hyperlink r:id="rId19">
        <w:r w:rsidDel="00000000" w:rsidR="00000000" w:rsidRPr="00000000">
          <w:rPr>
            <w:rFonts w:ascii="Google Sans" w:cs="Google Sans" w:eastAsia="Google Sans" w:hAnsi="Google Sans"/>
            <w:color w:val="0000ee"/>
            <w:sz w:val="24"/>
            <w:szCs w:val="24"/>
            <w:u w:val="single"/>
            <w:rtl w:val="0"/>
          </w:rPr>
          <w:t xml:space="preserve">https://online.pucrs.br/blog/consumo-sustentavel-cashback-sustentavel-1</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Cashback ambiental: descubra o que é e como implementar - Academia Assaí, acessado em março 3, 2026, </w:t>
      </w:r>
      <w:hyperlink r:id="rId20">
        <w:r w:rsidDel="00000000" w:rsidR="00000000" w:rsidRPr="00000000">
          <w:rPr>
            <w:rFonts w:ascii="Google Sans" w:cs="Google Sans" w:eastAsia="Google Sans" w:hAnsi="Google Sans"/>
            <w:color w:val="0000ee"/>
            <w:sz w:val="24"/>
            <w:szCs w:val="24"/>
            <w:u w:val="single"/>
            <w:rtl w:val="0"/>
          </w:rPr>
          <w:t xml:space="preserve">https://www.academiaassai.com.br/noticia/cashback-ambiental</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O que é e como implementar sustentabilidade nos negócios - InfinitePay, acessado em março 3, 2026, </w:t>
      </w:r>
      <w:hyperlink r:id="rId21">
        <w:r w:rsidDel="00000000" w:rsidR="00000000" w:rsidRPr="00000000">
          <w:rPr>
            <w:rFonts w:ascii="Google Sans" w:cs="Google Sans" w:eastAsia="Google Sans" w:hAnsi="Google Sans"/>
            <w:color w:val="0000ee"/>
            <w:sz w:val="24"/>
            <w:szCs w:val="24"/>
            <w:u w:val="single"/>
            <w:rtl w:val="0"/>
          </w:rPr>
          <w:t xml:space="preserve">https://www.infinitepay.io/glossario/esg-environmental-social-governance</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Tokenização de ativos ESG, acessado em março 3, 2026, </w:t>
      </w:r>
      <w:hyperlink r:id="rId22">
        <w:r w:rsidDel="00000000" w:rsidR="00000000" w:rsidRPr="00000000">
          <w:rPr>
            <w:rFonts w:ascii="Google Sans" w:cs="Google Sans" w:eastAsia="Google Sans" w:hAnsi="Google Sans"/>
            <w:color w:val="0000ee"/>
            <w:sz w:val="24"/>
            <w:szCs w:val="24"/>
            <w:u w:val="single"/>
            <w:rtl w:val="0"/>
          </w:rPr>
          <w:t xml:space="preserve">https://observatorioblockchain.org.br/tokenizacao-de-ativos-esg/</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Digitalização de créditos de carbono - MIT Technology Review - Brasil, acessado em março 3, 2026, </w:t>
      </w:r>
      <w:hyperlink r:id="rId23">
        <w:r w:rsidDel="00000000" w:rsidR="00000000" w:rsidRPr="00000000">
          <w:rPr>
            <w:rFonts w:ascii="Google Sans" w:cs="Google Sans" w:eastAsia="Google Sans" w:hAnsi="Google Sans"/>
            <w:color w:val="0000ee"/>
            <w:sz w:val="24"/>
            <w:szCs w:val="24"/>
            <w:u w:val="single"/>
            <w:rtl w:val="0"/>
          </w:rPr>
          <w:t xml:space="preserve">https://mittechreview.com.br/digitalizacao-de-creditos-de-carbono/</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Redução das emissões de CO2: a utilização do blockchain no mercado de créditos de carbono - Insper, acessado em março 3, 2026, </w:t>
      </w:r>
      <w:hyperlink r:id="rId24">
        <w:r w:rsidDel="00000000" w:rsidR="00000000" w:rsidRPr="00000000">
          <w:rPr>
            <w:rFonts w:ascii="Google Sans" w:cs="Google Sans" w:eastAsia="Google Sans" w:hAnsi="Google Sans"/>
            <w:color w:val="0000ee"/>
            <w:sz w:val="24"/>
            <w:szCs w:val="24"/>
            <w:u w:val="single"/>
            <w:rtl w:val="0"/>
          </w:rPr>
          <w:t xml:space="preserve">https://repositorio.insper.edu.br/bitstreams/6670970d-fac0-4904-8038-8c382ab33be1/download</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Tokenização de créditos de CO2 - Capgemini Brasil, acessado em março 3, 2026, </w:t>
      </w:r>
      <w:hyperlink r:id="rId25">
        <w:r w:rsidDel="00000000" w:rsidR="00000000" w:rsidRPr="00000000">
          <w:rPr>
            <w:rFonts w:ascii="Google Sans" w:cs="Google Sans" w:eastAsia="Google Sans" w:hAnsi="Google Sans"/>
            <w:color w:val="0000ee"/>
            <w:sz w:val="24"/>
            <w:szCs w:val="24"/>
            <w:u w:val="single"/>
            <w:rtl w:val="0"/>
          </w:rPr>
          <w:t xml:space="preserve">https://www.capgemini.com/br-pt/solucoes/tokenizacao-de-creditos-de-co2/</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Tokenização do crédito de carbono: aspectos regulatórios e tributários do mundo ESG, acessado em março 3,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https://www.youtube.com/watch?v=kCjM_Fd0oiw</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no mercado financeiro: como o setor pode protagonizar uma importante mudança - Dock, acessado em março 3, 2026, </w:t>
      </w:r>
      <w:hyperlink r:id="rId27">
        <w:r w:rsidDel="00000000" w:rsidR="00000000" w:rsidRPr="00000000">
          <w:rPr>
            <w:rFonts w:ascii="Google Sans" w:cs="Google Sans" w:eastAsia="Google Sans" w:hAnsi="Google Sans"/>
            <w:color w:val="0000ee"/>
            <w:sz w:val="24"/>
            <w:szCs w:val="24"/>
            <w:u w:val="single"/>
            <w:rtl w:val="0"/>
          </w:rPr>
          <w:t xml:space="preserve">https://dock.tech/fluid/blog/financeiro/esg-no-mercado-financeiro/#!</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Tendências de investimento sustentável a observar em 2025: principais informações para os investidores - Clarity AI, acessado em março 3, 2026, </w:t>
      </w:r>
      <w:hyperlink r:id="rId28">
        <w:r w:rsidDel="00000000" w:rsidR="00000000" w:rsidRPr="00000000">
          <w:rPr>
            <w:rFonts w:ascii="Google Sans" w:cs="Google Sans" w:eastAsia="Google Sans" w:hAnsi="Google Sans"/>
            <w:color w:val="0000ee"/>
            <w:sz w:val="24"/>
            <w:szCs w:val="24"/>
            <w:u w:val="single"/>
            <w:rtl w:val="0"/>
          </w:rPr>
          <w:t xml:space="preserve">https://clarity.ai/pt/research-and-insights/ai/sustainable-investing-trends-to-watch-in-2025-key-insights-for-investors/</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como critério de acesso a financiamento: o que os bancos e os investidores já exigem, acessado em março 3, 2026, </w:t>
      </w:r>
      <w:hyperlink r:id="rId29">
        <w:r w:rsidDel="00000000" w:rsidR="00000000" w:rsidRPr="00000000">
          <w:rPr>
            <w:rFonts w:ascii="Google Sans" w:cs="Google Sans" w:eastAsia="Google Sans" w:hAnsi="Google Sans"/>
            <w:color w:val="0000ee"/>
            <w:sz w:val="24"/>
            <w:szCs w:val="24"/>
            <w:u w:val="single"/>
            <w:rtl w:val="0"/>
          </w:rPr>
          <w:t xml:space="preserve">https://www.bankinter.pt/blog/empresas/esg-como-criterio-de-acesso-a-financiamento</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Tokenização: transformando ativos reais em oportunidades digitais - Matera, acessado em março 3, 2026, </w:t>
      </w:r>
      <w:hyperlink r:id="rId30">
        <w:r w:rsidDel="00000000" w:rsidR="00000000" w:rsidRPr="00000000">
          <w:rPr>
            <w:rFonts w:ascii="Google Sans" w:cs="Google Sans" w:eastAsia="Google Sans" w:hAnsi="Google Sans"/>
            <w:color w:val="0000ee"/>
            <w:sz w:val="24"/>
            <w:szCs w:val="24"/>
            <w:u w:val="single"/>
            <w:rtl w:val="0"/>
          </w:rPr>
          <w:t xml:space="preserve">https://www.matera.com/br/blog/tokenizacao/</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Finance e ESG: Como a inovação financeira impulsiona a sustentabilidade, acessado em março 3, 2026, </w:t>
      </w:r>
      <w:hyperlink r:id="rId31">
        <w:r w:rsidDel="00000000" w:rsidR="00000000" w:rsidRPr="00000000">
          <w:rPr>
            <w:rFonts w:ascii="Google Sans" w:cs="Google Sans" w:eastAsia="Google Sans" w:hAnsi="Google Sans"/>
            <w:color w:val="0000ee"/>
            <w:sz w:val="24"/>
            <w:szCs w:val="24"/>
            <w:u w:val="single"/>
            <w:rtl w:val="0"/>
          </w:rPr>
          <w:t xml:space="preserve">https://www.bv.com.br/bv-inspira/esg/open-finance-e-esg</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Vision And Mission Statement For Startups - Antler, acessado em março 3, 2026, </w:t>
      </w:r>
      <w:hyperlink r:id="rId32">
        <w:r w:rsidDel="00000000" w:rsidR="00000000" w:rsidRPr="00000000">
          <w:rPr>
            <w:rFonts w:ascii="Google Sans" w:cs="Google Sans" w:eastAsia="Google Sans" w:hAnsi="Google Sans"/>
            <w:color w:val="0000ee"/>
            <w:sz w:val="24"/>
            <w:szCs w:val="24"/>
            <w:u w:val="single"/>
            <w:rtl w:val="0"/>
          </w:rPr>
          <w:t xml:space="preserve">https://www.antler.co/blog/mission-and-vision-statements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73 Mission Statement Examples That Define Companies and Inspire Customers | Built In, acessado em março 3, 2026, </w:t>
      </w:r>
      <w:hyperlink r:id="rId33">
        <w:r w:rsidDel="00000000" w:rsidR="00000000" w:rsidRPr="00000000">
          <w:rPr>
            <w:rFonts w:ascii="Google Sans" w:cs="Google Sans" w:eastAsia="Google Sans" w:hAnsi="Google Sans"/>
            <w:color w:val="0000ee"/>
            <w:sz w:val="24"/>
            <w:szCs w:val="24"/>
            <w:u w:val="single"/>
            <w:rtl w:val="0"/>
          </w:rPr>
          <w:t xml:space="preserve">https://builtin.com/articles/mission-statement-examples</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mission statement for your startup - Stripe, acessado em março 3, 2026, </w:t>
      </w:r>
      <w:hyperlink r:id="rId34">
        <w:r w:rsidDel="00000000" w:rsidR="00000000" w:rsidRPr="00000000">
          <w:rPr>
            <w:rFonts w:ascii="Google Sans" w:cs="Google Sans" w:eastAsia="Google Sans" w:hAnsi="Google Sans"/>
            <w:color w:val="0000ee"/>
            <w:sz w:val="24"/>
            <w:szCs w:val="24"/>
            <w:u w:val="single"/>
            <w:rtl w:val="0"/>
          </w:rPr>
          <w:t xml:space="preserve">https://stripe.com/resources/more/how-to-write-a-mission-statement-for-your-startup</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Mission Statement | Foundry, acessado em março 3, 2026, </w:t>
      </w:r>
      <w:hyperlink r:id="rId35">
        <w:r w:rsidDel="00000000" w:rsidR="00000000" w:rsidRPr="00000000">
          <w:rPr>
            <w:rFonts w:ascii="Google Sans" w:cs="Google Sans" w:eastAsia="Google Sans" w:hAnsi="Google Sans"/>
            <w:color w:val="0000ee"/>
            <w:sz w:val="24"/>
            <w:szCs w:val="24"/>
            <w:u w:val="single"/>
            <w:rtl w:val="0"/>
          </w:rPr>
          <w:t xml:space="preserve">https://www.foundry.com/esg-mission-statement</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futuro sustentável e resiliente do ESG - JOTA, acessado em março 3, 2026, </w:t>
      </w:r>
      <w:hyperlink r:id="rId36">
        <w:r w:rsidDel="00000000" w:rsidR="00000000" w:rsidRPr="00000000">
          <w:rPr>
            <w:rFonts w:ascii="Google Sans" w:cs="Google Sans" w:eastAsia="Google Sans" w:hAnsi="Google Sans"/>
            <w:color w:val="0000ee"/>
            <w:sz w:val="24"/>
            <w:szCs w:val="24"/>
            <w:u w:val="single"/>
            <w:rtl w:val="0"/>
          </w:rPr>
          <w:t xml:space="preserve">https://www.jota.info/opiniao-e-analise/colunas/praticas-esg/o-futuro-sustentavel-e-resiliente-do-esg</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Inovação para fidelizar clientes e crescer muito - HSM Management, acessado em março 3, 2026, </w:t>
      </w:r>
      <w:hyperlink r:id="rId37">
        <w:r w:rsidDel="00000000" w:rsidR="00000000" w:rsidRPr="00000000">
          <w:rPr>
            <w:rFonts w:ascii="Google Sans" w:cs="Google Sans" w:eastAsia="Google Sans" w:hAnsi="Google Sans"/>
            <w:color w:val="0000ee"/>
            <w:sz w:val="24"/>
            <w:szCs w:val="24"/>
            <w:u w:val="single"/>
            <w:rtl w:val="0"/>
          </w:rPr>
          <w:t xml:space="preserve">https://hsmmanagement.com.br/inovacao-para-fidelizar-clientes-e-crescer-muito/</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Conheça 10 modelos de negócio e saiba como utilizá-los, acessado em março 3, 2026, </w:t>
      </w:r>
      <w:hyperlink r:id="rId38">
        <w:r w:rsidDel="00000000" w:rsidR="00000000" w:rsidRPr="00000000">
          <w:rPr>
            <w:rFonts w:ascii="Google Sans" w:cs="Google Sans" w:eastAsia="Google Sans" w:hAnsi="Google Sans"/>
            <w:color w:val="0000ee"/>
            <w:sz w:val="24"/>
            <w:szCs w:val="24"/>
            <w:u w:val="single"/>
            <w:rtl w:val="0"/>
          </w:rPr>
          <w:t xml:space="preserve">https://3wpublicidade.com.br/conheca-10-modelos-de-negocio-e-saiba-como-utiliza-los/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Conheça os 7 modelos de negócios: B2B, B2C, B2E, B2G, B2B2C, C2C e D2C, acessado em março 3, 2026, </w:t>
      </w:r>
      <w:hyperlink r:id="rId39">
        <w:r w:rsidDel="00000000" w:rsidR="00000000" w:rsidRPr="00000000">
          <w:rPr>
            <w:rFonts w:ascii="Google Sans" w:cs="Google Sans" w:eastAsia="Google Sans" w:hAnsi="Google Sans"/>
            <w:color w:val="0000ee"/>
            <w:sz w:val="24"/>
            <w:szCs w:val="24"/>
            <w:u w:val="single"/>
            <w:rtl w:val="0"/>
          </w:rPr>
          <w:t xml:space="preserve">https://saleshackers.com.br/blog/conheca-os-7-modelos-de-negocios/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B2C, B2B, B2E, B2G, B2B2C, C2C e D2C + novos modelos de negócio - Olist, acessado em março 3, 2026, </w:t>
      </w:r>
      <w:hyperlink r:id="rId40">
        <w:r w:rsidDel="00000000" w:rsidR="00000000" w:rsidRPr="00000000">
          <w:rPr>
            <w:rFonts w:ascii="Google Sans" w:cs="Google Sans" w:eastAsia="Google Sans" w:hAnsi="Google Sans"/>
            <w:color w:val="0000ee"/>
            <w:sz w:val="24"/>
            <w:szCs w:val="24"/>
            <w:u w:val="single"/>
            <w:rtl w:val="0"/>
          </w:rPr>
          <w:t xml:space="preserve">https://olist.com/blog/pt/como-empreender/planejamento-estrategico/o-que-e-b2c-b2b-b2e-b2g-b2b2c-c2c-d2c/</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Fidelização no Brasil e América Latina: Oportunidades Estratégicas para 2025, acessado em março 3, 2026, </w:t>
      </w:r>
      <w:hyperlink r:id="rId41">
        <w:r w:rsidDel="00000000" w:rsidR="00000000" w:rsidRPr="00000000">
          <w:rPr>
            <w:rFonts w:ascii="Google Sans" w:cs="Google Sans" w:eastAsia="Google Sans" w:hAnsi="Google Sans"/>
            <w:color w:val="0000ee"/>
            <w:sz w:val="24"/>
            <w:szCs w:val="24"/>
            <w:u w:val="single"/>
            <w:rtl w:val="0"/>
          </w:rPr>
          <w:t xml:space="preserve">https://www.impulse.com.br/blog/Panorama-Fideliza%C3%A7%C3%A3o-Brasil</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Parcerias Estratégicas B2B Explicadas | I'm a Brand | impact.com Help Center, acessado em março 3, 2026, </w:t>
      </w:r>
      <w:hyperlink r:id="rId42">
        <w:r w:rsidDel="00000000" w:rsidR="00000000" w:rsidRPr="00000000">
          <w:rPr>
            <w:rFonts w:ascii="Google Sans" w:cs="Google Sans" w:eastAsia="Google Sans" w:hAnsi="Google Sans"/>
            <w:color w:val="0000ee"/>
            <w:sz w:val="24"/>
            <w:szCs w:val="24"/>
            <w:u w:val="single"/>
            <w:rtl w:val="0"/>
          </w:rPr>
          <w:t xml:space="preserve">https://help.impact.com/brand/pt-br/sobre-o-que-voce-gostaria-de-aprender/partnership-strategies/partnership-guides/b2b-strategic-partnerships-explained</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 Grupo Casas Bahia, acessado em março 3, 2026, </w:t>
      </w:r>
      <w:hyperlink r:id="rId43">
        <w:r w:rsidDel="00000000" w:rsidR="00000000" w:rsidRPr="00000000">
          <w:rPr>
            <w:rFonts w:ascii="Google Sans" w:cs="Google Sans" w:eastAsia="Google Sans" w:hAnsi="Google Sans"/>
            <w:color w:val="0000ee"/>
            <w:sz w:val="24"/>
            <w:szCs w:val="24"/>
            <w:u w:val="single"/>
            <w:rtl w:val="0"/>
          </w:rPr>
          <w:t xml:space="preserve">https://www.grupocasasbahia.com.br/b2b/</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 de Cashback no Brasil: O Que Esperar em 2025 - Ellis Blog, acessado em março 3, 2026, </w:t>
      </w:r>
      <w:hyperlink r:id="rId44">
        <w:r w:rsidDel="00000000" w:rsidR="00000000" w:rsidRPr="00000000">
          <w:rPr>
            <w:rFonts w:ascii="Google Sans" w:cs="Google Sans" w:eastAsia="Google Sans" w:hAnsi="Google Sans"/>
            <w:color w:val="0000ee"/>
            <w:sz w:val="24"/>
            <w:szCs w:val="24"/>
            <w:u w:val="single"/>
            <w:rtl w:val="0"/>
          </w:rPr>
          <w:t xml:space="preserve">https://agenciaellis.com.br/blog/sistema-de-cashback-no-brasil-o-que-esperar-dessa-tendencia-em-2024/</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Cashback é responsável por aumento de 83,5% dos gastos em compra, segundo Izio&amp;Co, acessado em março 3, 2026, </w:t>
      </w:r>
      <w:hyperlink r:id="rId45">
        <w:r w:rsidDel="00000000" w:rsidR="00000000" w:rsidRPr="00000000">
          <w:rPr>
            <w:rFonts w:ascii="Google Sans" w:cs="Google Sans" w:eastAsia="Google Sans" w:hAnsi="Google Sans"/>
            <w:color w:val="0000ee"/>
            <w:sz w:val="24"/>
            <w:szCs w:val="24"/>
            <w:u w:val="single"/>
            <w:rtl w:val="0"/>
          </w:rPr>
          <w:t xml:space="preserve">https://www.ecommercebrasil.com.br/noticias/cashback-e-responsavel-por-aumento-de-835-dos-gastos-em-compra-segundo-izioco</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Cashback, descontos e doações: conheça startups brasileiras que avançam no setor ESG, acessado em março 3, 2026, </w:t>
      </w:r>
      <w:hyperlink r:id="rId46">
        <w:r w:rsidDel="00000000" w:rsidR="00000000" w:rsidRPr="00000000">
          <w:rPr>
            <w:rFonts w:ascii="Google Sans" w:cs="Google Sans" w:eastAsia="Google Sans" w:hAnsi="Google Sans"/>
            <w:color w:val="0000ee"/>
            <w:sz w:val="24"/>
            <w:szCs w:val="24"/>
            <w:u w:val="single"/>
            <w:rtl w:val="0"/>
          </w:rPr>
          <w:t xml:space="preserve">https://www.cnnbrasil.com.br/economia/negocios/cashback-descontos-e-doacoes-conheca-startups-brasileiras-que-avancam-no-setor-esg/</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Cashback Programs Market Report 2024-2029: Cashback Spending to Surge by 17.7% Annually, Preference for Immediate Rewards, Economic Pressures Drive Demand, Integration of Digital Payments - ResearchAndMarkets.com - Business Wire, acessado em março 3, 2026, </w:t>
      </w:r>
      <w:hyperlink r:id="rId47">
        <w:r w:rsidDel="00000000" w:rsidR="00000000" w:rsidRPr="00000000">
          <w:rPr>
            <w:rFonts w:ascii="Google Sans" w:cs="Google Sans" w:eastAsia="Google Sans" w:hAnsi="Google Sans"/>
            <w:color w:val="0000ee"/>
            <w:sz w:val="24"/>
            <w:szCs w:val="24"/>
            <w:u w:val="single"/>
            <w:rtl w:val="0"/>
          </w:rPr>
          <w:t xml:space="preserve">https://www.businesswire.com/news/home/20241226577396/en/Brazil-Cashback-Programs-Market-Report-2024-2029-Cashback-Spending-to-Surge-by-17.7-Annually-Preference-for-Immediate-Rewards-Economic-Pressures-Drive-Demand-Integration-of-Digital-Payments---ResearchAndMarkets.com</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as tecnologias podem auxiliar na aplicação de estratégias ESG - Blog, acessado em março 3, 2026, </w:t>
      </w:r>
      <w:hyperlink r:id="rId48">
        <w:r w:rsidDel="00000000" w:rsidR="00000000" w:rsidRPr="00000000">
          <w:rPr>
            <w:rFonts w:ascii="Google Sans" w:cs="Google Sans" w:eastAsia="Google Sans" w:hAnsi="Google Sans"/>
            <w:color w:val="0000ee"/>
            <w:sz w:val="24"/>
            <w:szCs w:val="24"/>
            <w:u w:val="single"/>
            <w:rtl w:val="0"/>
          </w:rPr>
          <w:t xml:space="preserve">https://blog.la.nec.com/como-tecnologias-auxiliam-na-aplicacao-de-esg-nas-empresas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Limpeza por demanda banheiros com sensores IoT - Evolv, acessado em março 3, 2026, </w:t>
      </w:r>
      <w:hyperlink r:id="rId49">
        <w:r w:rsidDel="00000000" w:rsidR="00000000" w:rsidRPr="00000000">
          <w:rPr>
            <w:rFonts w:ascii="Google Sans" w:cs="Google Sans" w:eastAsia="Google Sans" w:hAnsi="Google Sans"/>
            <w:color w:val="0000ee"/>
            <w:sz w:val="24"/>
            <w:szCs w:val="24"/>
            <w:u w:val="single"/>
            <w:rtl w:val="0"/>
          </w:rPr>
          <w:t xml:space="preserve">https://evolvtec.com.br/noticias/limpeza-por-demanda-banheiros/</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na Prática: Sustentabilidade Digital com IA, Dados e IoT - Teclógica, acessado em março 3, 2026, </w:t>
      </w:r>
      <w:hyperlink r:id="rId50">
        <w:r w:rsidDel="00000000" w:rsidR="00000000" w:rsidRPr="00000000">
          <w:rPr>
            <w:rFonts w:ascii="Google Sans" w:cs="Google Sans" w:eastAsia="Google Sans" w:hAnsi="Google Sans"/>
            <w:color w:val="0000ee"/>
            <w:sz w:val="24"/>
            <w:szCs w:val="24"/>
            <w:u w:val="single"/>
            <w:rtl w:val="0"/>
          </w:rPr>
          <w:t xml:space="preserve">https://www.teclogica.com.br/sustentabilidade-digital-ia-dados-iot/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list.com/blog/pt/como-empreender/planejamento-estrategico/o-que-e-b2c-b2b-b2e-b2g-b2b2c-c2c-d2c/" TargetMode="External"/><Relationship Id="rId42" Type="http://schemas.openxmlformats.org/officeDocument/2006/relationships/hyperlink" Target="https://help.impact.com/brand/pt-br/sobre-o-que-voce-gostaria-de-aprender/partnership-strategies/partnership-guides/b2b-strategic-partnerships-explained" TargetMode="External"/><Relationship Id="rId41" Type="http://schemas.openxmlformats.org/officeDocument/2006/relationships/hyperlink" Target="https://www.impulse.com.br/blog/Panorama-Fideliza%C3%A7%C3%A3o-Brasil" TargetMode="External"/><Relationship Id="rId44" Type="http://schemas.openxmlformats.org/officeDocument/2006/relationships/hyperlink" Target="https://agenciaellis.com.br/blog/sistema-de-cashback-no-brasil-o-que-esperar-dessa-tendencia-em-2024/" TargetMode="External"/><Relationship Id="rId43" Type="http://schemas.openxmlformats.org/officeDocument/2006/relationships/hyperlink" Target="https://www.grupocasasbahia.com.br/b2b/" TargetMode="External"/><Relationship Id="rId46" Type="http://schemas.openxmlformats.org/officeDocument/2006/relationships/hyperlink" Target="https://www.cnnbrasil.com.br/economia/negocios/cashback-descontos-e-doacoes-conheca-startups-brasileiras-que-avancam-no-setor-esg/" TargetMode="External"/><Relationship Id="rId45" Type="http://schemas.openxmlformats.org/officeDocument/2006/relationships/hyperlink" Target="https://www.ecommercebrasil.com.br/noticias/cashback-e-responsavel-por-aumento-de-835-dos-gastos-em-compra-segundo-izio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lo.br/j/rae/a/kMGhrjsJjtLWHppW9MYwggS/?lang=pt" TargetMode="External"/><Relationship Id="rId48" Type="http://schemas.openxmlformats.org/officeDocument/2006/relationships/hyperlink" Target="https://blog.la.nec.com/como-tecnologias-auxiliam-na-aplicacao-de-esg-nas-empresas" TargetMode="External"/><Relationship Id="rId47" Type="http://schemas.openxmlformats.org/officeDocument/2006/relationships/hyperlink" Target="https://www.businesswire.com/news/home/20241226577396/en/Brazil-Cashback-Programs-Market-Report-2024-2029-Cashback-Spending-to-Surge-by-17.7-Annually-Preference-for-Immediate-Rewards-Economic-Pressures-Drive-Demand-Integration-of-Digital-Payments---ResearchAndMarkets.com" TargetMode="External"/><Relationship Id="rId49" Type="http://schemas.openxmlformats.org/officeDocument/2006/relationships/hyperlink" Target="https://evolvtec.com.br/noticias/limpeza-por-demanda-banheiros/" TargetMode="External"/><Relationship Id="rId5" Type="http://schemas.openxmlformats.org/officeDocument/2006/relationships/styles" Target="styles.xml"/><Relationship Id="rId6" Type="http://schemas.openxmlformats.org/officeDocument/2006/relationships/hyperlink" Target="https://www.randoncorp.com/pt/blog/tendencias-de-mercado-pos-pandemia/" TargetMode="External"/><Relationship Id="rId7" Type="http://schemas.openxmlformats.org/officeDocument/2006/relationships/hyperlink" Target="https://parc.ipp.pt/index.php/trendshub/article/view/6273" TargetMode="External"/><Relationship Id="rId8" Type="http://schemas.openxmlformats.org/officeDocument/2006/relationships/hyperlink" Target="https://www.mckinsey.com/featured-insights/destaques/como-tornar-o-esg-uma-realidade/pt" TargetMode="External"/><Relationship Id="rId31" Type="http://schemas.openxmlformats.org/officeDocument/2006/relationships/hyperlink" Target="https://www.bv.com.br/bv-inspira/esg/open-finance-e-esg" TargetMode="External"/><Relationship Id="rId30" Type="http://schemas.openxmlformats.org/officeDocument/2006/relationships/hyperlink" Target="https://www.matera.com/br/blog/tokenizacao/" TargetMode="External"/><Relationship Id="rId33" Type="http://schemas.openxmlformats.org/officeDocument/2006/relationships/hyperlink" Target="https://builtin.com/articles/mission-statement-examples" TargetMode="External"/><Relationship Id="rId32" Type="http://schemas.openxmlformats.org/officeDocument/2006/relationships/hyperlink" Target="https://www.antler.co/blog/mission-and-vision-statements" TargetMode="External"/><Relationship Id="rId35" Type="http://schemas.openxmlformats.org/officeDocument/2006/relationships/hyperlink" Target="https://www.foundry.com/esg-mission-statement" TargetMode="External"/><Relationship Id="rId34" Type="http://schemas.openxmlformats.org/officeDocument/2006/relationships/hyperlink" Target="https://stripe.com/resources/more/how-to-write-a-mission-statement-for-your-startup" TargetMode="External"/><Relationship Id="rId37" Type="http://schemas.openxmlformats.org/officeDocument/2006/relationships/hyperlink" Target="https://hsmmanagement.com.br/inovacao-para-fidelizar-clientes-e-crescer-muito/" TargetMode="External"/><Relationship Id="rId36" Type="http://schemas.openxmlformats.org/officeDocument/2006/relationships/hyperlink" Target="https://www.jota.info/opiniao-e-analise/colunas/praticas-esg/o-futuro-sustentavel-e-resiliente-do-esg" TargetMode="External"/><Relationship Id="rId39" Type="http://schemas.openxmlformats.org/officeDocument/2006/relationships/hyperlink" Target="https://saleshackers.com.br/blog/conheca-os-7-modelos-de-negocios/" TargetMode="External"/><Relationship Id="rId38" Type="http://schemas.openxmlformats.org/officeDocument/2006/relationships/hyperlink" Target="https://3wpublicidade.com.br/conheca-10-modelos-de-negocio-e-saiba-como-utiliza-los/" TargetMode="External"/><Relationship Id="rId20" Type="http://schemas.openxmlformats.org/officeDocument/2006/relationships/hyperlink" Target="https://www.academiaassai.com.br/noticia/cashback-ambiental" TargetMode="External"/><Relationship Id="rId22" Type="http://schemas.openxmlformats.org/officeDocument/2006/relationships/hyperlink" Target="https://observatorioblockchain.org.br/tokenizacao-de-ativos-esg/" TargetMode="External"/><Relationship Id="rId21" Type="http://schemas.openxmlformats.org/officeDocument/2006/relationships/hyperlink" Target="https://www.infinitepay.io/glossario/esg-environmental-social-governance" TargetMode="External"/><Relationship Id="rId24" Type="http://schemas.openxmlformats.org/officeDocument/2006/relationships/hyperlink" Target="https://repositorio.insper.edu.br/bitstreams/6670970d-fac0-4904-8038-8c382ab33be1/download" TargetMode="External"/><Relationship Id="rId23" Type="http://schemas.openxmlformats.org/officeDocument/2006/relationships/hyperlink" Target="https://mittechreview.com.br/digitalizacao-de-creditos-de-carbono/" TargetMode="External"/><Relationship Id="rId26" Type="http://schemas.openxmlformats.org/officeDocument/2006/relationships/hyperlink" Target="https://www.youtube.com/watch?v=kCjM_Fd0oiw" TargetMode="External"/><Relationship Id="rId25" Type="http://schemas.openxmlformats.org/officeDocument/2006/relationships/hyperlink" Target="https://www.capgemini.com/br-pt/solucoes/tokenizacao-de-creditos-de-co2/" TargetMode="External"/><Relationship Id="rId28" Type="http://schemas.openxmlformats.org/officeDocument/2006/relationships/hyperlink" Target="https://clarity.ai/pt/research-and-insights/ai/sustainable-investing-trends-to-watch-in-2025-key-insights-for-investors/" TargetMode="External"/><Relationship Id="rId27" Type="http://schemas.openxmlformats.org/officeDocument/2006/relationships/hyperlink" Target="https://dock.tech/fluid/blog/financeiro/esg-no-mercado-financeiro/#!" TargetMode="External"/><Relationship Id="rId29" Type="http://schemas.openxmlformats.org/officeDocument/2006/relationships/hyperlink" Target="https://www.bankinter.pt/blog/empresas/esg-como-criterio-de-acesso-a-financiamento" TargetMode="External"/><Relationship Id="rId50" Type="http://schemas.openxmlformats.org/officeDocument/2006/relationships/hyperlink" Target="https://www.teclogica.com.br/sustentabilidade-digital-ia-dados-iot/" TargetMode="External"/><Relationship Id="rId11" Type="http://schemas.openxmlformats.org/officeDocument/2006/relationships/hyperlink" Target="https://repositorio.ucp.pt/bitstreams/9b0d3766-5682-4296-9648-0b51ae23c608/download" TargetMode="External"/><Relationship Id="rId10" Type="http://schemas.openxmlformats.org/officeDocument/2006/relationships/hyperlink" Target="https://austral.media/comportamento-de-consumo-o-que-mudou-em-2025/" TargetMode="External"/><Relationship Id="rId13" Type="http://schemas.openxmlformats.org/officeDocument/2006/relationships/hyperlink" Target="https://interferencejournal.emnuvens.com.br/revista/article/download/346/346/604" TargetMode="External"/><Relationship Id="rId12" Type="http://schemas.openxmlformats.org/officeDocument/2006/relationships/hyperlink" Target="https://repositorio.ufu.br/bitstream/123456789/39743/1/SustentabilidadeCOVID19Afetam.pdf" TargetMode="External"/><Relationship Id="rId15" Type="http://schemas.openxmlformats.org/officeDocument/2006/relationships/hyperlink" Target="https://forbes.com.br/negocios/2019/04/cashback-o-modelo-de-compras-que-devolve-o-dinheiro/" TargetMode="External"/><Relationship Id="rId14" Type="http://schemas.openxmlformats.org/officeDocument/2006/relationships/hyperlink" Target="https://www.deloitte.com/br/pt/services/consulting-risk/perspectives/Artigo-Investimentos-ESG-2024.html" TargetMode="External"/><Relationship Id="rId17" Type="http://schemas.openxmlformats.org/officeDocument/2006/relationships/hyperlink" Target="https://carbonfreebrasil.com/blog/cashback-ambiental-do-carbon-free-plantando-arvores-nativas/" TargetMode="External"/><Relationship Id="rId16" Type="http://schemas.openxmlformats.org/officeDocument/2006/relationships/hyperlink" Target="https://www.infomoney.com.br/consumo/cashback-recompensa-em-dinheiro-tira-terreno-de-programas-de-cartao-e-milhagens/" TargetMode="External"/><Relationship Id="rId19" Type="http://schemas.openxmlformats.org/officeDocument/2006/relationships/hyperlink" Target="https://online.pucrs.br/blog/consumo-sustentavel-cashback-sustentavel-1" TargetMode="External"/><Relationship Id="rId18" Type="http://schemas.openxmlformats.org/officeDocument/2006/relationships/hyperlink" Target="https://online.pucrs.br/blog/cashback-sustentav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