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Informations trouvées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Matériau utilisé pour la structure externe : Windform XT 2.0 (URL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http://www.windform.com/windform-xt-2-0.html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ground breaking carbon fiber reinforced composite </w:t>
      </w:r>
      <w:r w:rsidDel="00000000" w:rsidR="00000000" w:rsidRPr="00000000">
        <w:rPr>
          <w:color w:val="3b3b3b"/>
          <w:sz w:val="20"/>
          <w:szCs w:val="20"/>
          <w:highlight w:val="yellow"/>
          <w:rtl w:val="0"/>
        </w:rPr>
        <w:t xml:space="preserve">3D printing material</w:t>
      </w: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 known for its mechanical properties. It is particularly suitable in demanding applications such as motorsports, aerospace, and UAV sectors.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3b3b3b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3b3b3b"/>
          <w:sz w:val="20"/>
          <w:szCs w:val="20"/>
          <w:highlight w:val="white"/>
          <w:rtl w:val="0"/>
        </w:rPr>
        <w:t xml:space="preserve">Windform</w:t>
      </w:r>
      <w:r w:rsidDel="00000000" w:rsidR="00000000" w:rsidRPr="00000000">
        <w:rPr>
          <w:b w:val="1"/>
          <w:color w:val="3b3b3b"/>
          <w:sz w:val="20"/>
          <w:szCs w:val="20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b w:val="1"/>
          <w:color w:val="3b3b3b"/>
          <w:sz w:val="20"/>
          <w:szCs w:val="20"/>
          <w:highlight w:val="white"/>
          <w:rtl w:val="0"/>
        </w:rPr>
        <w:t xml:space="preserve"> XT 2.0</w:t>
      </w: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 features improvements in mechanical properties including +8% increase in tensile strength, +22% in tensile modulus, and a +46% increase in elongation at break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3b3b3b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3b3b3b"/>
          <w:sz w:val="20"/>
          <w:szCs w:val="20"/>
          <w:highlight w:val="white"/>
          <w:rtl w:val="0"/>
        </w:rPr>
        <w:t xml:space="preserve">Windform</w:t>
      </w:r>
      <w:r w:rsidDel="00000000" w:rsidR="00000000" w:rsidRPr="00000000">
        <w:rPr>
          <w:b w:val="1"/>
          <w:color w:val="3b3b3b"/>
          <w:sz w:val="20"/>
          <w:szCs w:val="20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b w:val="1"/>
          <w:color w:val="3b3b3b"/>
          <w:sz w:val="20"/>
          <w:szCs w:val="20"/>
          <w:highlight w:val="white"/>
          <w:rtl w:val="0"/>
        </w:rPr>
        <w:t xml:space="preserve"> XT 2.0</w:t>
      </w: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 has been rated HB according to the flammability UL 94 test (agréé NASA et ESA)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b3b3b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OU TIM UPS INSA -&gt; composite|mousse|composite (plus de rigidité) plaque composite carbone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b3b3b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OU Composite équivalent à Windform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Conception de la structure de EyeSat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Structure plein, avec quelques ouvertures circulaires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indform.com/windform-xt-2-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