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113"/>
        <w:gridCol w:w="3813"/>
        <w:gridCol w:w="1596"/>
      </w:tblGrid>
      <w:tr w:rsidR="00CA67C8" w:rsidRPr="00CA67C8" w14:paraId="760ED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A36A3" w14:textId="77777777" w:rsidR="00CA67C8" w:rsidRPr="00CA67C8" w:rsidRDefault="00CA67C8" w:rsidP="00CA67C8">
            <w:pPr>
              <w:rPr>
                <w:b/>
                <w:bCs/>
                <w:lang w:val="pt-AO"/>
              </w:rPr>
            </w:pPr>
            <w:r w:rsidRPr="00CA67C8">
              <w:rPr>
                <w:b/>
                <w:bCs/>
                <w:lang w:val="pt-AO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607EC8E1" w14:textId="77777777" w:rsidR="00CA67C8" w:rsidRPr="00CA67C8" w:rsidRDefault="00CA67C8" w:rsidP="00CA67C8">
            <w:pPr>
              <w:rPr>
                <w:b/>
                <w:bCs/>
                <w:lang w:val="pt-AO"/>
              </w:rPr>
            </w:pPr>
            <w:r w:rsidRPr="00CA67C8">
              <w:rPr>
                <w:b/>
                <w:bCs/>
                <w:lang w:val="pt-AO"/>
              </w:rPr>
              <w:t>Prompt / Módulo</w:t>
            </w:r>
          </w:p>
        </w:tc>
        <w:tc>
          <w:tcPr>
            <w:tcW w:w="0" w:type="auto"/>
            <w:vAlign w:val="center"/>
            <w:hideMark/>
          </w:tcPr>
          <w:p w14:paraId="7AED4C62" w14:textId="77777777" w:rsidR="00CA67C8" w:rsidRPr="00CA67C8" w:rsidRDefault="00CA67C8" w:rsidP="00CA67C8">
            <w:pPr>
              <w:rPr>
                <w:b/>
                <w:bCs/>
                <w:lang w:val="pt-AO"/>
              </w:rPr>
            </w:pPr>
            <w:r w:rsidRPr="00CA67C8">
              <w:rPr>
                <w:b/>
                <w:bCs/>
                <w:lang w:val="pt-AO"/>
              </w:rPr>
              <w:t>Finalidade resumida</w:t>
            </w:r>
          </w:p>
        </w:tc>
        <w:tc>
          <w:tcPr>
            <w:tcW w:w="0" w:type="auto"/>
            <w:vAlign w:val="center"/>
            <w:hideMark/>
          </w:tcPr>
          <w:p w14:paraId="7C9833F9" w14:textId="77777777" w:rsidR="00CA67C8" w:rsidRPr="00CA67C8" w:rsidRDefault="00CA67C8" w:rsidP="00CA67C8">
            <w:pPr>
              <w:rPr>
                <w:b/>
                <w:bCs/>
                <w:lang w:val="pt-AO"/>
              </w:rPr>
            </w:pPr>
            <w:r w:rsidRPr="00CA67C8">
              <w:rPr>
                <w:b/>
                <w:bCs/>
                <w:lang w:val="pt-AO"/>
              </w:rPr>
              <w:t>Situação</w:t>
            </w:r>
          </w:p>
        </w:tc>
      </w:tr>
      <w:tr w:rsidR="00CA67C8" w:rsidRPr="00CA67C8" w14:paraId="0CDC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7E5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A74FFB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Platform — Documento-Prompt Mestre Único 500/500 / Digital Workforce Operating System</w:t>
            </w:r>
          </w:p>
        </w:tc>
        <w:tc>
          <w:tcPr>
            <w:tcW w:w="0" w:type="auto"/>
            <w:vAlign w:val="center"/>
            <w:hideMark/>
          </w:tcPr>
          <w:p w14:paraId="05B4268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Documento mestre que consolida a arquitectura global: Core Runtime, Role Packs, capabilities, tools, permissions, policies, knowledge, memory, workflows, KPIs e runtime state.</w:t>
            </w:r>
          </w:p>
        </w:tc>
        <w:tc>
          <w:tcPr>
            <w:tcW w:w="0" w:type="auto"/>
            <w:vAlign w:val="center"/>
            <w:hideMark/>
          </w:tcPr>
          <w:p w14:paraId="6B35DFE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Mestre</w:t>
            </w:r>
          </w:p>
        </w:tc>
      </w:tr>
      <w:tr w:rsidR="00CA67C8" w:rsidRPr="00CA67C8" w14:paraId="2910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045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913CF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500/500 Priority Employee Program</w:t>
            </w:r>
          </w:p>
        </w:tc>
        <w:tc>
          <w:tcPr>
            <w:tcW w:w="0" w:type="auto"/>
            <w:vAlign w:val="center"/>
            <w:hideMark/>
          </w:tcPr>
          <w:p w14:paraId="1BDDCFB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 xml:space="preserve">Determina que os </w:t>
            </w:r>
            <w:r w:rsidRPr="00CA67C8">
              <w:rPr>
                <w:b/>
                <w:bCs/>
                <w:lang w:val="pt-AO"/>
              </w:rPr>
              <w:t>500/500 Employees são prioritários</w:t>
            </w:r>
            <w:r w:rsidRPr="00CA67C8">
              <w:rPr>
                <w:lang w:val="pt-AO"/>
              </w:rPr>
              <w:t>, todos preparados até READY_FOR_TEST, sem classe secundária. Substituiu a estratégia 300/200.</w:t>
            </w:r>
          </w:p>
        </w:tc>
        <w:tc>
          <w:tcPr>
            <w:tcW w:w="0" w:type="auto"/>
            <w:vAlign w:val="center"/>
            <w:hideMark/>
          </w:tcPr>
          <w:p w14:paraId="27775BFB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770D5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978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9B5F9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Programa 500/300/200 — Employee Readiness &amp; Validation Program</w:t>
            </w:r>
          </w:p>
        </w:tc>
        <w:tc>
          <w:tcPr>
            <w:tcW w:w="0" w:type="auto"/>
            <w:vAlign w:val="center"/>
            <w:hideMark/>
          </w:tcPr>
          <w:p w14:paraId="58AE3BE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Preparava os 500, mas dava prioridade inicial de validação profunda a 300 e mantinha 200 em READY_FOR_TEST.</w:t>
            </w:r>
          </w:p>
        </w:tc>
        <w:tc>
          <w:tcPr>
            <w:tcW w:w="0" w:type="auto"/>
            <w:vAlign w:val="center"/>
            <w:hideMark/>
          </w:tcPr>
          <w:p w14:paraId="2F3DF5D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Substituído</w:t>
            </w:r>
          </w:p>
        </w:tc>
      </w:tr>
      <w:tr w:rsidR="00CA67C8" w:rsidRPr="00CA67C8" w14:paraId="3D9D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7D9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10CB1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Implementation &amp; Operationalization</w:t>
            </w:r>
          </w:p>
        </w:tc>
        <w:tc>
          <w:tcPr>
            <w:tcW w:w="0" w:type="auto"/>
            <w:vAlign w:val="center"/>
            <w:hideMark/>
          </w:tcPr>
          <w:p w14:paraId="484B65F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Transformava Role Packs, Work Contracts e Knowledge Packs em Employees implementados, testáveis, certificados e activáveis. Estava associado à antiga estratégia 500/300/200.</w:t>
            </w:r>
          </w:p>
        </w:tc>
        <w:tc>
          <w:tcPr>
            <w:tcW w:w="0" w:type="auto"/>
            <w:vAlign w:val="center"/>
            <w:hideMark/>
          </w:tcPr>
          <w:p w14:paraId="0F940C0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Legado / parcialmente absorvido</w:t>
            </w:r>
          </w:p>
        </w:tc>
      </w:tr>
      <w:tr w:rsidR="00CA67C8" w:rsidRPr="00CA67C8" w14:paraId="549D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B47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CB87E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Actualização Integral dos Conhecimentos dos 500 AI Employees</w:t>
            </w:r>
          </w:p>
        </w:tc>
        <w:tc>
          <w:tcPr>
            <w:tcW w:w="0" w:type="auto"/>
            <w:vAlign w:val="center"/>
            <w:hideMark/>
          </w:tcPr>
          <w:p w14:paraId="5928C19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Auditoria, verificação, correcção e actualização do conhecimento dos 500 Employees para a baseline definida.</w:t>
            </w:r>
          </w:p>
        </w:tc>
        <w:tc>
          <w:tcPr>
            <w:tcW w:w="0" w:type="auto"/>
            <w:vAlign w:val="center"/>
            <w:hideMark/>
          </w:tcPr>
          <w:p w14:paraId="0B97AB8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Base de conhecimento</w:t>
            </w:r>
          </w:p>
        </w:tc>
      </w:tr>
      <w:tr w:rsidR="00CA67C8" w:rsidRPr="00CA67C8" w14:paraId="08D6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AAEA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5B47CF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Continuous Knowledge, Regulation &amp; API Intelligence Engine</w:t>
            </w:r>
          </w:p>
        </w:tc>
        <w:tc>
          <w:tcPr>
            <w:tcW w:w="0" w:type="auto"/>
            <w:vAlign w:val="center"/>
            <w:hideMark/>
          </w:tcPr>
          <w:p w14:paraId="70DEB5C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Source Registry, Knowledge Registry, Regulatory Watch, API Watch, Change Detection, Impact Analysis e actualização contínua dos Employees.</w:t>
            </w:r>
          </w:p>
        </w:tc>
        <w:tc>
          <w:tcPr>
            <w:tcW w:w="0" w:type="auto"/>
            <w:vAlign w:val="center"/>
            <w:hideMark/>
          </w:tcPr>
          <w:p w14:paraId="2AF15F0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42B0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6D8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B1A5B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CPEAA &amp; CKRAIE-2026 — Governação, Políticas do Cliente &amp; Aprovações Regulamentares</w:t>
            </w:r>
          </w:p>
        </w:tc>
        <w:tc>
          <w:tcPr>
            <w:tcW w:w="0" w:type="auto"/>
            <w:vAlign w:val="center"/>
            <w:hideMark/>
          </w:tcPr>
          <w:p w14:paraId="672E10C6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Onboarding de manuais internos, políticas do cliente, precedência legal, regulatory watch, aprovações e impacto das alterações regulamentares.</w:t>
            </w:r>
          </w:p>
        </w:tc>
        <w:tc>
          <w:tcPr>
            <w:tcW w:w="0" w:type="auto"/>
            <w:vAlign w:val="center"/>
            <w:hideMark/>
          </w:tcPr>
          <w:p w14:paraId="6D4672D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216F6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D348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9D1ED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RCODE-500 — Remote Command, Offline Queue &amp; Deferred Execution Engine</w:t>
            </w:r>
          </w:p>
        </w:tc>
        <w:tc>
          <w:tcPr>
            <w:tcW w:w="0" w:type="auto"/>
            <w:vAlign w:val="center"/>
            <w:hideMark/>
          </w:tcPr>
          <w:p w14:paraId="1EB5D67C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Comandos remotos, telefone, WhatsApp, execução cloud/local, fila quando PC estiver desligado, heartbeats, MFA, idempotência e execução diferida.</w:t>
            </w:r>
          </w:p>
        </w:tc>
        <w:tc>
          <w:tcPr>
            <w:tcW w:w="0" w:type="auto"/>
            <w:vAlign w:val="center"/>
            <w:hideMark/>
          </w:tcPr>
          <w:p w14:paraId="40F2107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4628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9D8B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17B73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Unified Task, Command &amp; Event Gateway — UTCEG</w:t>
            </w:r>
          </w:p>
        </w:tc>
        <w:tc>
          <w:tcPr>
            <w:tcW w:w="0" w:type="auto"/>
            <w:vAlign w:val="center"/>
            <w:hideMark/>
          </w:tcPr>
          <w:p w14:paraId="1BDB702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Entrada unificada de texto, voz, ficheiros, email, mensageria, ERP, CRM, banco, Excel, APIs, webhooks, eventos, IoT e outros Employees.</w:t>
            </w:r>
          </w:p>
        </w:tc>
        <w:tc>
          <w:tcPr>
            <w:tcW w:w="0" w:type="auto"/>
            <w:vAlign w:val="center"/>
            <w:hideMark/>
          </w:tcPr>
          <w:p w14:paraId="4C6B299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64D1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E72C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29B51D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Central de Trabalho &amp; Execução de Tarefas dos AI Employees</w:t>
            </w:r>
          </w:p>
        </w:tc>
        <w:tc>
          <w:tcPr>
            <w:tcW w:w="0" w:type="auto"/>
            <w:vAlign w:val="center"/>
            <w:hideMark/>
          </w:tcPr>
          <w:p w14:paraId="3B9E4F56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Área central para seleccionar Employee contratado, enviar tarefa, anexar documentos, escolher fontes, definir prazo, prioridade, output, acompanhar execução e aprovar.</w:t>
            </w:r>
          </w:p>
        </w:tc>
        <w:tc>
          <w:tcPr>
            <w:tcW w:w="0" w:type="auto"/>
            <w:vAlign w:val="center"/>
            <w:hideMark/>
          </w:tcPr>
          <w:p w14:paraId="4356679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1D15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50B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70D6D1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Runtime, Model Binding &amp; Real Task Execution Engine</w:t>
            </w:r>
          </w:p>
        </w:tc>
        <w:tc>
          <w:tcPr>
            <w:tcW w:w="0" w:type="auto"/>
            <w:vAlign w:val="center"/>
            <w:hideMark/>
          </w:tcPr>
          <w:p w14:paraId="791F322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 xml:space="preserve">“Dar vida” aos Employees. Liga instâncias a </w:t>
            </w:r>
            <w:r w:rsidRPr="00CA67C8">
              <w:rPr>
                <w:b/>
                <w:bCs/>
                <w:lang w:val="pt-AO"/>
              </w:rPr>
              <w:t>OpenAI, Gemini e Claude</w:t>
            </w:r>
            <w:r w:rsidRPr="00CA67C8">
              <w:rPr>
                <w:lang w:val="pt-AO"/>
              </w:rPr>
              <w:t>, executa tarefas reais, tools, knowledge, memória, approvals, outputs, custos e evidência.</w:t>
            </w:r>
          </w:p>
        </w:tc>
        <w:tc>
          <w:tcPr>
            <w:tcW w:w="0" w:type="auto"/>
            <w:vAlign w:val="center"/>
            <w:hideMark/>
          </w:tcPr>
          <w:p w14:paraId="3CD39C0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Crítico / Actual</w:t>
            </w:r>
          </w:p>
        </w:tc>
      </w:tr>
      <w:tr w:rsidR="00CA67C8" w:rsidRPr="00CA67C8" w14:paraId="557C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65B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58AF45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500 AI Employees Operational Role Packs, Task Catalog &amp; SOP Engine</w:t>
            </w:r>
          </w:p>
        </w:tc>
        <w:tc>
          <w:tcPr>
            <w:tcW w:w="0" w:type="auto"/>
            <w:vAlign w:val="center"/>
            <w:hideMark/>
          </w:tcPr>
          <w:p w14:paraId="1ECD956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Dá a cada Employee missão, responsabilidades, tarefas, procedimentos, inputs, outputs, ferramentas, qualidade, autonomia, limites e regras de escalação.</w:t>
            </w:r>
          </w:p>
        </w:tc>
        <w:tc>
          <w:tcPr>
            <w:tcW w:w="0" w:type="auto"/>
            <w:vAlign w:val="center"/>
            <w:hideMark/>
          </w:tcPr>
          <w:p w14:paraId="4FE9C02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Crítico / Actual</w:t>
            </w:r>
          </w:p>
        </w:tc>
      </w:tr>
      <w:tr w:rsidR="00CA67C8" w:rsidRPr="00CA67C8" w14:paraId="67223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BB6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0C4E74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Competency Passport + Knowledge Provenance + Physical Source Explorer + Task Eligibility Gate</w:t>
            </w:r>
          </w:p>
        </w:tc>
        <w:tc>
          <w:tcPr>
            <w:tcW w:w="0" w:type="auto"/>
            <w:vAlign w:val="center"/>
            <w:hideMark/>
          </w:tcPr>
          <w:p w14:paraId="0CE8B974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Demonstra o que o Employee sabe, de onde veio o conhecimento, ficheiro físico, hash, testes, certificação e elegibilidade para executar determinada tarefa.</w:t>
            </w:r>
          </w:p>
        </w:tc>
        <w:tc>
          <w:tcPr>
            <w:tcW w:w="0" w:type="auto"/>
            <w:vAlign w:val="center"/>
            <w:hideMark/>
          </w:tcPr>
          <w:p w14:paraId="571F4EE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2E367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5CB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4CFC3F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Model Native Capability Audit, Knowledge Gap Detection &amp; Reinforcement Engine — MNCA-500</w:t>
            </w:r>
          </w:p>
        </w:tc>
        <w:tc>
          <w:tcPr>
            <w:tcW w:w="0" w:type="auto"/>
            <w:vAlign w:val="center"/>
            <w:hideMark/>
          </w:tcPr>
          <w:p w14:paraId="4475BFB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Mede capacidade nativa real sem RAG, identifica competências já dominadas, lacunas, necessidade de fontes, reforço e reteste.</w:t>
            </w:r>
          </w:p>
        </w:tc>
        <w:tc>
          <w:tcPr>
            <w:tcW w:w="0" w:type="auto"/>
            <w:vAlign w:val="center"/>
            <w:hideMark/>
          </w:tcPr>
          <w:p w14:paraId="7448F6F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61E05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8F2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50EC0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Operational Reality &amp; Domain Knowledge System — ORDKS</w:t>
            </w:r>
          </w:p>
        </w:tc>
        <w:tc>
          <w:tcPr>
            <w:tcW w:w="0" w:type="auto"/>
            <w:vAlign w:val="center"/>
            <w:hideMark/>
          </w:tcPr>
          <w:p w14:paraId="7E7AEED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Dá conhecimento profissional, processos reais, documentos, sistemas, excepções, casos, sectores, jurisdições e realidade operacional aos Employees.</w:t>
            </w:r>
          </w:p>
        </w:tc>
        <w:tc>
          <w:tcPr>
            <w:tcW w:w="0" w:type="auto"/>
            <w:vAlign w:val="center"/>
            <w:hideMark/>
          </w:tcPr>
          <w:p w14:paraId="4D2A112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3C8D3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116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2066A6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Knowledge Center Frontend, Knowledge Intake, Validation, Provenance, Mapping &amp; Runtime Publication Engine</w:t>
            </w:r>
          </w:p>
        </w:tc>
        <w:tc>
          <w:tcPr>
            <w:tcW w:w="0" w:type="auto"/>
            <w:vAlign w:val="center"/>
            <w:hideMark/>
          </w:tcPr>
          <w:p w14:paraId="6B2BAE6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Permite ao cliente carregar manuais, políticas, templates e fontes pelo frontend; backend valida, faz hash, extrai, cria Knowledge Objects, mapeia Employees e publica.</w:t>
            </w:r>
          </w:p>
        </w:tc>
        <w:tc>
          <w:tcPr>
            <w:tcW w:w="0" w:type="auto"/>
            <w:vAlign w:val="center"/>
            <w:hideMark/>
          </w:tcPr>
          <w:p w14:paraId="05CDA05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63880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A0F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E2F3CA8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Knowledge Necessity, Native-vs-Source Decision &amp; Runtime Knowledge Minimization Engine</w:t>
            </w:r>
          </w:p>
        </w:tc>
        <w:tc>
          <w:tcPr>
            <w:tcW w:w="0" w:type="auto"/>
            <w:vAlign w:val="center"/>
            <w:hideMark/>
          </w:tcPr>
          <w:p w14:paraId="2536EED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Decide se determinado conhecimento carregado deve realmente entrar numa tarefa. Evita injectar material que o modelo já domina e exige fontes quando são críticas ou específicas do cliente.</w:t>
            </w:r>
          </w:p>
        </w:tc>
        <w:tc>
          <w:tcPr>
            <w:tcW w:w="0" w:type="auto"/>
            <w:vAlign w:val="center"/>
            <w:hideMark/>
          </w:tcPr>
          <w:p w14:paraId="4774B67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optimização</w:t>
            </w:r>
          </w:p>
        </w:tc>
      </w:tr>
      <w:tr w:rsidR="00CA67C8" w:rsidRPr="00CA67C8" w14:paraId="56DC1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6D96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CA7FC64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Training, Competency &amp; Commercial Readiness System — ATCCRS</w:t>
            </w:r>
          </w:p>
        </w:tc>
        <w:tc>
          <w:tcPr>
            <w:tcW w:w="0" w:type="auto"/>
            <w:vAlign w:val="center"/>
            <w:hideMark/>
          </w:tcPr>
          <w:p w14:paraId="038A6D8F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Currículos, competências, exercícios, casos, avaliações, retestes, benchmark humano e Commercial Readiness Passport.</w:t>
            </w:r>
          </w:p>
        </w:tc>
        <w:tc>
          <w:tcPr>
            <w:tcW w:w="0" w:type="auto"/>
            <w:vAlign w:val="center"/>
            <w:hideMark/>
          </w:tcPr>
          <w:p w14:paraId="7099C9B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6ABA9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C74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77FB0D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Employee Reliability &amp; Error Measurement System — EREMS</w:t>
            </w:r>
          </w:p>
        </w:tc>
        <w:tc>
          <w:tcPr>
            <w:tcW w:w="0" w:type="auto"/>
            <w:vAlign w:val="center"/>
            <w:hideMark/>
          </w:tcPr>
          <w:p w14:paraId="48AFCFB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Mede fiabilidade, erros materiais/críticos, UMER, supervisão humana, erro por tarefa/contexto e limites de autonomia.</w:t>
            </w:r>
          </w:p>
        </w:tc>
        <w:tc>
          <w:tcPr>
            <w:tcW w:w="0" w:type="auto"/>
            <w:vAlign w:val="center"/>
            <w:hideMark/>
          </w:tcPr>
          <w:p w14:paraId="1BC1893D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68F3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6D7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1A9A0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Client Acceptance, Quality &amp; Revision System — CAQRS</w:t>
            </w:r>
          </w:p>
        </w:tc>
        <w:tc>
          <w:tcPr>
            <w:tcW w:w="0" w:type="auto"/>
            <w:vAlign w:val="center"/>
            <w:hideMark/>
          </w:tcPr>
          <w:p w14:paraId="32945EBB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Mede qualidade percebida e aceitação do cliente, distingue erro de preferência, gere revisões e aprendizagem controlada de preferências.</w:t>
            </w:r>
          </w:p>
        </w:tc>
        <w:tc>
          <w:tcPr>
            <w:tcW w:w="0" w:type="auto"/>
            <w:vAlign w:val="center"/>
            <w:hideMark/>
          </w:tcPr>
          <w:p w14:paraId="0102F16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343D3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C11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0DBDCC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500 AI Employee Master Validation, Testing &amp; Certification System — EMVTCS</w:t>
            </w:r>
          </w:p>
        </w:tc>
        <w:tc>
          <w:tcPr>
            <w:tcW w:w="0" w:type="auto"/>
            <w:vAlign w:val="center"/>
            <w:hideMark/>
          </w:tcPr>
          <w:p w14:paraId="4DB1A73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Sistema mestre de testes funcionais, E2E, segurança, Shadow Mode, reliability, benchmark humano, remediation, reteste e certificação individual dos 500.</w:t>
            </w:r>
          </w:p>
        </w:tc>
        <w:tc>
          <w:tcPr>
            <w:tcW w:w="0" w:type="auto"/>
            <w:vAlign w:val="center"/>
            <w:hideMark/>
          </w:tcPr>
          <w:p w14:paraId="3367E808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79C5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BD06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C10499F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Operational Testing, Connection, Task Execution &amp; Employee Certification — OTCTEC</w:t>
            </w:r>
          </w:p>
        </w:tc>
        <w:tc>
          <w:tcPr>
            <w:tcW w:w="0" w:type="auto"/>
            <w:vAlign w:val="center"/>
            <w:hideMark/>
          </w:tcPr>
          <w:p w14:paraId="17E54CA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Laboratório operacional para ligar Employees a dados/ferramentas, executar tarefas, rever erros, fazer regression, Shadow real e certificar para empresa.</w:t>
            </w:r>
          </w:p>
        </w:tc>
        <w:tc>
          <w:tcPr>
            <w:tcW w:w="0" w:type="auto"/>
            <w:vAlign w:val="center"/>
            <w:hideMark/>
          </w:tcPr>
          <w:p w14:paraId="52BB62B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piloto</w:t>
            </w:r>
          </w:p>
        </w:tc>
      </w:tr>
      <w:tr w:rsidR="00CA67C8" w:rsidRPr="00CA67C8" w14:paraId="090AF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F91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FFFA91C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Enterprise Pilot Testing &amp; Omnichannel Work Delivery System — EPTOWDS</w:t>
            </w:r>
          </w:p>
        </w:tc>
        <w:tc>
          <w:tcPr>
            <w:tcW w:w="0" w:type="auto"/>
            <w:vAlign w:val="center"/>
            <w:hideMark/>
          </w:tcPr>
          <w:p w14:paraId="3E07904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Testes controlados em empresa real, pré-visualização, revisão, aprovação e entrega por download, impressão, email, WhatsApp e Drive/DMS.</w:t>
            </w:r>
          </w:p>
        </w:tc>
        <w:tc>
          <w:tcPr>
            <w:tcW w:w="0" w:type="auto"/>
            <w:vAlign w:val="center"/>
            <w:hideMark/>
          </w:tcPr>
          <w:p w14:paraId="4335FBD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piloto empresarial</w:t>
            </w:r>
          </w:p>
        </w:tc>
      </w:tr>
      <w:tr w:rsidR="00CA67C8" w:rsidRPr="00CA67C8" w14:paraId="7D77E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6D37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8BE9804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Document Generation &amp; Rendering Service</w:t>
            </w:r>
          </w:p>
        </w:tc>
        <w:tc>
          <w:tcPr>
            <w:tcW w:w="0" w:type="auto"/>
            <w:vAlign w:val="center"/>
            <w:hideMark/>
          </w:tcPr>
          <w:p w14:paraId="42DAC4C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Serviço transversal para todos os Employees produzirem DOCX, PDF, XLSX e PPTX com templates, branding, validação, rendering, aprovação e entrega.</w:t>
            </w:r>
          </w:p>
        </w:tc>
        <w:tc>
          <w:tcPr>
            <w:tcW w:w="0" w:type="auto"/>
            <w:vAlign w:val="center"/>
            <w:hideMark/>
          </w:tcPr>
          <w:p w14:paraId="5DBB820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16B58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1AE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78FADAB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Corporate Letterhead, Brand Governance &amp; Stationery System — CLBGS</w:t>
            </w:r>
          </w:p>
        </w:tc>
        <w:tc>
          <w:tcPr>
            <w:tcW w:w="0" w:type="auto"/>
            <w:vAlign w:val="center"/>
            <w:hideMark/>
          </w:tcPr>
          <w:p w14:paraId="7E0630F0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Papel timbrado, logos, cabeçalhos, rodapés, templates, assinaturas, carimbos, selos, impressão e identidade institucional.</w:t>
            </w:r>
          </w:p>
        </w:tc>
        <w:tc>
          <w:tcPr>
            <w:tcW w:w="0" w:type="auto"/>
            <w:vAlign w:val="center"/>
            <w:hideMark/>
          </w:tcPr>
          <w:p w14:paraId="4E9073C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6742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8CE5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761120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Hiring, Salary, Subscription &amp; Revenue Engine — AESSRE</w:t>
            </w:r>
          </w:p>
        </w:tc>
        <w:tc>
          <w:tcPr>
            <w:tcW w:w="0" w:type="auto"/>
            <w:vAlign w:val="center"/>
            <w:hideMark/>
          </w:tcPr>
          <w:p w14:paraId="21FCC33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Contratação digital, “salário digital”, planos, múltiplas instâncias, equipas, departamentos, billing, MRR, ARR, custos e margem.</w:t>
            </w:r>
          </w:p>
        </w:tc>
        <w:tc>
          <w:tcPr>
            <w:tcW w:w="0" w:type="auto"/>
            <w:vAlign w:val="center"/>
            <w:hideMark/>
          </w:tcPr>
          <w:p w14:paraId="78DA3C24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comercial</w:t>
            </w:r>
          </w:p>
        </w:tc>
      </w:tr>
      <w:tr w:rsidR="00CA67C8" w:rsidRPr="00CA67C8" w14:paraId="0BB7F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F91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14:paraId="6FC206B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Marketplace, Hiring, Subscription, Deployment &amp; Revenue Operations</w:t>
            </w:r>
          </w:p>
        </w:tc>
        <w:tc>
          <w:tcPr>
            <w:tcW w:w="0" w:type="auto"/>
            <w:vAlign w:val="center"/>
            <w:hideMark/>
          </w:tcPr>
          <w:p w14:paraId="0187CEE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Marketplace dos 500, contratação SaaS, subscrições, deployment, metering, billing, MRR/ARR e operações comerciais. A implementação posterior refere expressamente este documento.</w:t>
            </w:r>
          </w:p>
        </w:tc>
        <w:tc>
          <w:tcPr>
            <w:tcW w:w="0" w:type="auto"/>
            <w:vAlign w:val="center"/>
            <w:hideMark/>
          </w:tcPr>
          <w:p w14:paraId="52185D16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comercial</w:t>
            </w:r>
          </w:p>
        </w:tc>
      </w:tr>
      <w:tr w:rsidR="00CA67C8" w:rsidRPr="00CA67C8" w14:paraId="6B09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046D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48AD15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Commerce Production Hardening, Billing, Payments &amp; Paid Customer Readiness</w:t>
            </w:r>
          </w:p>
        </w:tc>
        <w:tc>
          <w:tcPr>
            <w:tcW w:w="0" w:type="auto"/>
            <w:vAlign w:val="center"/>
            <w:hideMark/>
          </w:tcPr>
          <w:p w14:paraId="5C8CEC2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Hardening comercial de pricing, billing, pagamentos, entitlements, anti-fraude, reconciliação, subledger e preparação para cliente pagante.</w:t>
            </w:r>
          </w:p>
        </w:tc>
        <w:tc>
          <w:tcPr>
            <w:tcW w:w="0" w:type="auto"/>
            <w:vAlign w:val="center"/>
            <w:hideMark/>
          </w:tcPr>
          <w:p w14:paraId="254BE12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produção comercial</w:t>
            </w:r>
          </w:p>
        </w:tc>
      </w:tr>
      <w:tr w:rsidR="00CA67C8" w:rsidRPr="00CA67C8" w14:paraId="4B9E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C3FF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1D5F483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Employee Provisioning, Client Access &amp; Tenant Onboarding System — APCATOS</w:t>
            </w:r>
          </w:p>
        </w:tc>
        <w:tc>
          <w:tcPr>
            <w:tcW w:w="0" w:type="auto"/>
            <w:vAlign w:val="center"/>
            <w:hideMark/>
          </w:tcPr>
          <w:p w14:paraId="18122E7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Transforma uma contratação em instância privada do Employee, configura empresa, utilizadores, sistemas, policies, permissões, onboarding, readiness, pilot, activação e offboarding.</w:t>
            </w:r>
          </w:p>
        </w:tc>
        <w:tc>
          <w:tcPr>
            <w:tcW w:w="0" w:type="auto"/>
            <w:vAlign w:val="center"/>
            <w:hideMark/>
          </w:tcPr>
          <w:p w14:paraId="0C8E56A4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2F6E7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C18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CE52AC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Company Provisioning, Employee Association &amp; Activation — CPEAA</w:t>
            </w:r>
          </w:p>
        </w:tc>
        <w:tc>
          <w:tcPr>
            <w:tcW w:w="0" w:type="auto"/>
            <w:vAlign w:val="center"/>
            <w:hideMark/>
          </w:tcPr>
          <w:p w14:paraId="18465E0A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Criação da empresa/tenant, associação de Employee, configuração de dados, tools, permissões, autonomia, supervisão, readiness e activação segura.</w:t>
            </w:r>
          </w:p>
        </w:tc>
        <w:tc>
          <w:tcPr>
            <w:tcW w:w="0" w:type="auto"/>
            <w:vAlign w:val="center"/>
            <w:hideMark/>
          </w:tcPr>
          <w:p w14:paraId="5E925908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</w:t>
            </w:r>
          </w:p>
        </w:tc>
      </w:tr>
      <w:tr w:rsidR="00CA67C8" w:rsidRPr="00CA67C8" w14:paraId="70FB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C5F8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36E88F2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Workforce Discovery, Deployment, Supervision &amp; Expansion Engine — AWDSE</w:t>
            </w:r>
          </w:p>
        </w:tc>
        <w:tc>
          <w:tcPr>
            <w:tcW w:w="0" w:type="auto"/>
            <w:vAlign w:val="center"/>
            <w:hideMark/>
          </w:tcPr>
          <w:p w14:paraId="02887B31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Descobre necessidades da empresa, recomenda Employees, calcula valor/risco, contrata, provisiona, supervisiona e identifica novas oportunidades de expansão da força de trabalho digital.</w:t>
            </w:r>
          </w:p>
        </w:tc>
        <w:tc>
          <w:tcPr>
            <w:tcW w:w="0" w:type="auto"/>
            <w:vAlign w:val="center"/>
            <w:hideMark/>
          </w:tcPr>
          <w:p w14:paraId="48EAC10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expansão</w:t>
            </w:r>
          </w:p>
        </w:tc>
      </w:tr>
      <w:tr w:rsidR="00CA67C8" w:rsidRPr="00CA67C8" w14:paraId="1BC25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8AC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D1601AF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Execution Mode Control, MOCK / REAL API Visibility &amp; Runtime Evidence Gate</w:t>
            </w:r>
          </w:p>
        </w:tc>
        <w:tc>
          <w:tcPr>
            <w:tcW w:w="0" w:type="auto"/>
            <w:vAlign w:val="center"/>
            <w:hideMark/>
          </w:tcPr>
          <w:p w14:paraId="404B670C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Separa claramente simulação de execução real: MOCK vs REAL_API, evidence gate, request metadata, custos/tokens reais e proibição de certificação baseada apenas em mocks.</w:t>
            </w:r>
          </w:p>
        </w:tc>
        <w:tc>
          <w:tcPr>
            <w:tcW w:w="0" w:type="auto"/>
            <w:vAlign w:val="center"/>
            <w:hideMark/>
          </w:tcPr>
          <w:p w14:paraId="27BD1459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controlo de verdade</w:t>
            </w:r>
          </w:p>
        </w:tc>
      </w:tr>
      <w:tr w:rsidR="00CA67C8" w:rsidRPr="00CA67C8" w14:paraId="702C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1454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DDC921C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AI Omnichannel Communications, Social Media Operations, WhatsApp Command, Email Intelligence &amp; Daily Executive Briefing Engine</w:t>
            </w:r>
          </w:p>
        </w:tc>
        <w:tc>
          <w:tcPr>
            <w:tcW w:w="0" w:type="auto"/>
            <w:vAlign w:val="center"/>
            <w:hideMark/>
          </w:tcPr>
          <w:p w14:paraId="41DE33D5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lang w:val="pt-AO"/>
              </w:rPr>
              <w:t>WhatsApp, emails, Facebook, Instagram, LinkedIn, TikTok, X, YouTube, anexos, leads, mensagens, comentários, relatórios de email e briefing executivo diário.</w:t>
            </w:r>
          </w:p>
        </w:tc>
        <w:tc>
          <w:tcPr>
            <w:tcW w:w="0" w:type="auto"/>
            <w:vAlign w:val="center"/>
            <w:hideMark/>
          </w:tcPr>
          <w:p w14:paraId="04774F5E" w14:textId="77777777" w:rsidR="00CA67C8" w:rsidRPr="00CA67C8" w:rsidRDefault="00CA67C8" w:rsidP="00CA67C8">
            <w:pPr>
              <w:rPr>
                <w:lang w:val="pt-AO"/>
              </w:rPr>
            </w:pPr>
            <w:r w:rsidRPr="00CA67C8">
              <w:rPr>
                <w:b/>
                <w:bCs/>
                <w:lang w:val="pt-AO"/>
              </w:rPr>
              <w:t>Actual / canais</w:t>
            </w:r>
          </w:p>
        </w:tc>
      </w:tr>
    </w:tbl>
    <w:p w14:paraId="12CE791C" w14:textId="77777777" w:rsidR="00A40E46" w:rsidRDefault="00A40E46"/>
    <w:sectPr w:rsidR="00A40E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C8"/>
    <w:rsid w:val="000B73E6"/>
    <w:rsid w:val="00873B87"/>
    <w:rsid w:val="009E1B33"/>
    <w:rsid w:val="00A40E46"/>
    <w:rsid w:val="00CA67C8"/>
    <w:rsid w:val="00DB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5E3E2"/>
  <w15:chartTrackingRefBased/>
  <w15:docId w15:val="{A340894E-61DB-42B9-955D-337D5B21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6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6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6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6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6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7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67C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6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67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6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6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67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67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67C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6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67C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6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Victorino Aguiar</dc:creator>
  <cp:keywords/>
  <dc:description/>
  <cp:lastModifiedBy>Victorino Aguiar</cp:lastModifiedBy>
  <cp:revision>1</cp:revision>
  <dcterms:created xsi:type="dcterms:W3CDTF">2026-09-14T14:45:00Z</dcterms:created>
  <dcterms:modified xsi:type="dcterms:W3CDTF">2026-09-14T14:46:00Z</dcterms:modified>
</cp:coreProperties>
</file>