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AB9B" w14:textId="329F58BA" w:rsidR="00583655" w:rsidRPr="0029644B" w:rsidRDefault="00B44978" w:rsidP="0029644B">
      <w:pPr>
        <w:jc w:val="center"/>
        <w:rPr>
          <w:rFonts w:ascii="Arial" w:hAnsi="Arial" w:cs="Arial"/>
          <w:b/>
          <w:bCs/>
          <w:sz w:val="22"/>
          <w:szCs w:val="22"/>
        </w:rPr>
      </w:pPr>
      <w:r w:rsidRPr="0029644B">
        <w:rPr>
          <w:rFonts w:ascii="Arial" w:hAnsi="Arial" w:cs="Arial"/>
          <w:b/>
          <w:bCs/>
          <w:sz w:val="22"/>
          <w:szCs w:val="22"/>
        </w:rPr>
        <w:t>DAS ELEIÇÕES DOS OCUPANTES DOS CARGOS DIRETIVOS</w:t>
      </w:r>
    </w:p>
    <w:p w14:paraId="47546D83" w14:textId="77777777" w:rsidR="00E352B3" w:rsidRPr="00E352B3" w:rsidRDefault="00E352B3" w:rsidP="001578CB">
      <w:pPr>
        <w:ind w:firstLine="708"/>
        <w:jc w:val="both"/>
        <w:rPr>
          <w:rFonts w:ascii="Arial" w:hAnsi="Arial" w:cs="Arial"/>
          <w:sz w:val="22"/>
          <w:szCs w:val="22"/>
        </w:rPr>
      </w:pPr>
      <w:r w:rsidRPr="00E352B3">
        <w:rPr>
          <w:rFonts w:ascii="Arial" w:hAnsi="Arial" w:cs="Arial"/>
          <w:sz w:val="22"/>
          <w:szCs w:val="22"/>
        </w:rPr>
        <w:t>No bloco anterior, foi apresentado o procedimento de escolha dos conselheiros do TCDF, acompanhado de um fluxograma para facilitar a compreensão desse processo. Também foram expostos os requisitos objetivos estabelecidos pela Lei Orgânica do Distrito Federal para a escolha dos conselheiros.</w:t>
      </w:r>
    </w:p>
    <w:p w14:paraId="0CFA1F12" w14:textId="77777777" w:rsidR="00E352B3" w:rsidRPr="00E352B3" w:rsidRDefault="00E352B3" w:rsidP="00B46264">
      <w:pPr>
        <w:ind w:firstLine="708"/>
        <w:jc w:val="both"/>
        <w:rPr>
          <w:rFonts w:ascii="Arial" w:hAnsi="Arial" w:cs="Arial"/>
          <w:sz w:val="22"/>
          <w:szCs w:val="22"/>
        </w:rPr>
      </w:pPr>
      <w:r w:rsidRPr="00E352B3">
        <w:rPr>
          <w:rFonts w:ascii="Arial" w:hAnsi="Arial" w:cs="Arial"/>
          <w:sz w:val="22"/>
          <w:szCs w:val="22"/>
        </w:rPr>
        <w:t>A escolha é realizada tanto pela Câmara Legislativa do Distrito Federal (CLDF), responsável pela indicação de quatro conselheiros, quanto pelo Governador do Distrito Federal, responsável pela indicação de três conselheiros. No caso das indicações do Governador, apenas uma é de livre escolha. As outras duas são vinculadas: uma deve recair obrigatoriamente sobre um membro do Ministério Público de Contas junto ao Tribunal de Contas, e a outra sobre um auditor de carreira do próprio Tribunal.</w:t>
      </w:r>
    </w:p>
    <w:p w14:paraId="7286BF44" w14:textId="77777777" w:rsidR="00E352B3" w:rsidRPr="00E352B3" w:rsidRDefault="00E352B3" w:rsidP="00BF27D9">
      <w:pPr>
        <w:ind w:firstLine="708"/>
        <w:jc w:val="both"/>
        <w:rPr>
          <w:rFonts w:ascii="Arial" w:hAnsi="Arial" w:cs="Arial"/>
          <w:sz w:val="22"/>
          <w:szCs w:val="22"/>
        </w:rPr>
      </w:pPr>
      <w:r w:rsidRPr="00E352B3">
        <w:rPr>
          <w:rFonts w:ascii="Arial" w:hAnsi="Arial" w:cs="Arial"/>
          <w:sz w:val="22"/>
          <w:szCs w:val="22"/>
        </w:rPr>
        <w:t>Os nomes indicados pelo Governador são submetidos à sabatina da Câmara Legislativa do Distrito Federal, que poderá aprová-los ou rejeitá-los. Após a aprovação, os nomes retornam ao Governador para a nomeação. Assim, o procedimento consiste em: o Governador indica, a Câmara Legislativa aprova e, posteriormente, o Governador nomeia. A nomeação é realizada pelo Governador em relação a todos os conselheiros, inclusive aqueles escolhidos pela Câmara Legislativa do Distrito Federal.</w:t>
      </w:r>
    </w:p>
    <w:p w14:paraId="366489B7" w14:textId="77777777" w:rsidR="00E352B3" w:rsidRPr="00E352B3" w:rsidRDefault="00E352B3" w:rsidP="003E176F">
      <w:pPr>
        <w:ind w:firstLine="708"/>
        <w:jc w:val="both"/>
        <w:rPr>
          <w:rFonts w:ascii="Arial" w:hAnsi="Arial" w:cs="Arial"/>
          <w:sz w:val="22"/>
          <w:szCs w:val="22"/>
        </w:rPr>
      </w:pPr>
      <w:r w:rsidRPr="00E352B3">
        <w:rPr>
          <w:rFonts w:ascii="Arial" w:hAnsi="Arial" w:cs="Arial"/>
          <w:sz w:val="22"/>
          <w:szCs w:val="22"/>
        </w:rPr>
        <w:t>Ressalta-se que, uma vez escolhido conselheiro do Tribunal de Contas, o agente desvincula-se de sua origem e passa a exercer suas atribuições com independência e imparcialidade, sem qualquer dever de favorecimento em relação à autoridade ou ao órgão responsável por sua indicação.</w:t>
      </w:r>
    </w:p>
    <w:p w14:paraId="56584705" w14:textId="2AC9AE8C" w:rsidR="002F1A4F" w:rsidRPr="000022EB" w:rsidRDefault="002F1A4F" w:rsidP="00317747">
      <w:pPr>
        <w:spacing w:after="0"/>
        <w:ind w:left="2124"/>
        <w:jc w:val="both"/>
        <w:rPr>
          <w:rFonts w:ascii="Arial" w:hAnsi="Arial" w:cs="Arial"/>
          <w:sz w:val="20"/>
          <w:szCs w:val="20"/>
        </w:rPr>
      </w:pPr>
      <w:r w:rsidRPr="000022EB">
        <w:rPr>
          <w:rFonts w:ascii="Arial" w:hAnsi="Arial" w:cs="Arial"/>
          <w:sz w:val="20"/>
          <w:szCs w:val="20"/>
        </w:rPr>
        <w:t>k) auditorias ou inspeções, inclusive as solicitadas pela Câmara Legislativa ou por suas comissões técnicas ou de inquérito;</w:t>
      </w:r>
    </w:p>
    <w:p w14:paraId="6655C986" w14:textId="77777777" w:rsidR="000E6391" w:rsidRDefault="004D16C1" w:rsidP="00317747">
      <w:pPr>
        <w:spacing w:after="0"/>
        <w:ind w:left="2124"/>
        <w:jc w:val="both"/>
        <w:rPr>
          <w:rFonts w:ascii="Arial" w:hAnsi="Arial" w:cs="Arial"/>
          <w:sz w:val="20"/>
          <w:szCs w:val="20"/>
        </w:rPr>
      </w:pPr>
      <w:r w:rsidRPr="000022EB">
        <w:rPr>
          <w:rFonts w:ascii="Arial" w:hAnsi="Arial" w:cs="Arial"/>
          <w:sz w:val="20"/>
          <w:szCs w:val="20"/>
        </w:rPr>
        <w:t xml:space="preserve">l) relatórios de fiscalização; </w:t>
      </w:r>
    </w:p>
    <w:p w14:paraId="1B85AC8A" w14:textId="77777777" w:rsidR="000E6391" w:rsidRDefault="004D16C1" w:rsidP="00317747">
      <w:pPr>
        <w:spacing w:after="0"/>
        <w:ind w:left="2124"/>
        <w:jc w:val="both"/>
        <w:rPr>
          <w:rFonts w:ascii="Arial" w:hAnsi="Arial" w:cs="Arial"/>
          <w:sz w:val="20"/>
          <w:szCs w:val="20"/>
        </w:rPr>
      </w:pPr>
      <w:r w:rsidRPr="000022EB">
        <w:rPr>
          <w:rFonts w:ascii="Arial" w:hAnsi="Arial" w:cs="Arial"/>
          <w:sz w:val="20"/>
          <w:szCs w:val="20"/>
        </w:rPr>
        <w:t xml:space="preserve">m) consulta sobre matéria de competência do Tribunal; </w:t>
      </w:r>
    </w:p>
    <w:p w14:paraId="0158ADE7" w14:textId="42143017" w:rsidR="000E6391" w:rsidRDefault="004D16C1" w:rsidP="00317747">
      <w:pPr>
        <w:spacing w:after="0"/>
        <w:ind w:left="2124"/>
        <w:jc w:val="both"/>
        <w:rPr>
          <w:rFonts w:ascii="Arial" w:hAnsi="Arial" w:cs="Arial"/>
          <w:sz w:val="20"/>
          <w:szCs w:val="20"/>
        </w:rPr>
      </w:pPr>
      <w:r w:rsidRPr="000022EB">
        <w:rPr>
          <w:rFonts w:ascii="Arial" w:hAnsi="Arial" w:cs="Arial"/>
          <w:sz w:val="20"/>
          <w:szCs w:val="20"/>
        </w:rPr>
        <w:t xml:space="preserve">n) matéria regimental ou de caráter normativo que lhe seja submetida pelo Presidente, por Conselheiro, Auditor ou pelo Procurador-Geral do Ministério Público junto ao Tribunal; </w:t>
      </w:r>
    </w:p>
    <w:p w14:paraId="0B4F9333" w14:textId="77777777" w:rsidR="000E6391" w:rsidRDefault="004D16C1" w:rsidP="000022EB">
      <w:pPr>
        <w:ind w:left="2124"/>
        <w:jc w:val="both"/>
        <w:rPr>
          <w:rFonts w:ascii="Arial" w:hAnsi="Arial" w:cs="Arial"/>
          <w:sz w:val="20"/>
          <w:szCs w:val="20"/>
        </w:rPr>
      </w:pPr>
      <w:r w:rsidRPr="000022EB">
        <w:rPr>
          <w:rFonts w:ascii="Arial" w:hAnsi="Arial" w:cs="Arial"/>
          <w:sz w:val="20"/>
          <w:szCs w:val="20"/>
        </w:rPr>
        <w:t xml:space="preserve">o) prestação e tomada de contas, inclusive especial ou extraordinária, dos responsáveis indicados no inciso II do art. 1º deste Regimento; </w:t>
      </w:r>
    </w:p>
    <w:p w14:paraId="6A6A408A" w14:textId="77777777" w:rsidR="00005690" w:rsidRPr="00801237" w:rsidRDefault="00005690" w:rsidP="00005690">
      <w:pPr>
        <w:ind w:firstLine="708"/>
        <w:jc w:val="both"/>
        <w:rPr>
          <w:rFonts w:ascii="Arial" w:hAnsi="Arial" w:cs="Arial"/>
          <w:sz w:val="22"/>
          <w:szCs w:val="22"/>
        </w:rPr>
      </w:pPr>
      <w:r w:rsidRPr="00801237">
        <w:rPr>
          <w:rFonts w:ascii="Arial" w:hAnsi="Arial" w:cs="Arial"/>
          <w:sz w:val="22"/>
          <w:szCs w:val="22"/>
        </w:rPr>
        <w:t>Esses responsáveis são os gestores de recursos públicos, ou seja, aqueles que administram dinheiro público e, por essa razão, têm o dever de prestar contas de sua gestão.</w:t>
      </w:r>
    </w:p>
    <w:p w14:paraId="093AE80B" w14:textId="77777777" w:rsidR="00005690" w:rsidRPr="00801237" w:rsidRDefault="00005690" w:rsidP="00005690">
      <w:pPr>
        <w:ind w:firstLine="708"/>
        <w:jc w:val="both"/>
        <w:rPr>
          <w:rFonts w:ascii="Arial" w:hAnsi="Arial" w:cs="Arial"/>
          <w:sz w:val="22"/>
          <w:szCs w:val="22"/>
        </w:rPr>
      </w:pPr>
      <w:r w:rsidRPr="00801237">
        <w:rPr>
          <w:rFonts w:ascii="Arial" w:hAnsi="Arial" w:cs="Arial"/>
          <w:sz w:val="22"/>
          <w:szCs w:val="22"/>
        </w:rPr>
        <w:t>Após a apresentação da prestação de contas, cabe ao Plenário deliberar e manifestar-se sobre ela, especialmente nos casos de tomada de contas especial ou extraordinária. A tomada de contas especial é instaurada quando há indícios de irregularidade ou suspeita de irregularidade, hipótese em que o Plenário analisará o procedimento e deliberará sobre a matéria.</w:t>
      </w:r>
    </w:p>
    <w:p w14:paraId="7EE2050F" w14:textId="511E5F57" w:rsidR="004D16C1" w:rsidRPr="000022EB" w:rsidRDefault="004D16C1" w:rsidP="007A198E">
      <w:pPr>
        <w:spacing w:after="0"/>
        <w:ind w:left="2124"/>
        <w:jc w:val="both"/>
        <w:rPr>
          <w:rFonts w:ascii="Arial" w:hAnsi="Arial" w:cs="Arial"/>
          <w:sz w:val="20"/>
          <w:szCs w:val="20"/>
        </w:rPr>
      </w:pPr>
      <w:r w:rsidRPr="000022EB">
        <w:rPr>
          <w:rFonts w:ascii="Arial" w:hAnsi="Arial" w:cs="Arial"/>
          <w:sz w:val="20"/>
          <w:szCs w:val="20"/>
        </w:rPr>
        <w:t>p) a prestação de contas prevista no art. 81 da Lei Orgânica do Distrito Federal;</w:t>
      </w:r>
      <w:r w:rsidR="00E16785">
        <w:rPr>
          <w:rFonts w:ascii="Arial" w:hAnsi="Arial" w:cs="Arial"/>
          <w:sz w:val="20"/>
          <w:szCs w:val="20"/>
        </w:rPr>
        <w:t xml:space="preserve"> </w:t>
      </w:r>
      <w:r w:rsidR="00E16785" w:rsidRPr="008B06C4">
        <w:rPr>
          <w:rFonts w:ascii="Arial" w:hAnsi="Arial" w:cs="Arial"/>
          <w:b/>
          <w:bCs/>
          <w:sz w:val="22"/>
          <w:szCs w:val="22"/>
          <w:highlight w:val="yellow"/>
        </w:rPr>
        <w:t>5MIN</w:t>
      </w:r>
    </w:p>
    <w:p w14:paraId="2C937517" w14:textId="77777777" w:rsidR="007A198E" w:rsidRPr="007A198E" w:rsidRDefault="007A198E" w:rsidP="007A198E">
      <w:pPr>
        <w:ind w:left="2124"/>
        <w:jc w:val="both"/>
        <w:rPr>
          <w:rFonts w:ascii="Arial" w:hAnsi="Arial" w:cs="Arial"/>
          <w:b/>
          <w:bCs/>
          <w:sz w:val="22"/>
          <w:szCs w:val="22"/>
        </w:rPr>
      </w:pPr>
      <w:r w:rsidRPr="007A198E">
        <w:rPr>
          <w:rFonts w:ascii="Arial" w:hAnsi="Arial" w:cs="Arial"/>
          <w:b/>
          <w:bCs/>
          <w:sz w:val="22"/>
          <w:szCs w:val="22"/>
        </w:rPr>
        <w:t xml:space="preserve">LODF </w:t>
      </w:r>
    </w:p>
    <w:p w14:paraId="1BBAA899" w14:textId="53CC17E5" w:rsidR="007A198E" w:rsidRDefault="007A198E" w:rsidP="007A198E">
      <w:pPr>
        <w:ind w:left="2124"/>
        <w:jc w:val="both"/>
        <w:rPr>
          <w:rFonts w:ascii="Arial" w:hAnsi="Arial" w:cs="Arial"/>
          <w:sz w:val="22"/>
          <w:szCs w:val="22"/>
        </w:rPr>
      </w:pPr>
      <w:r w:rsidRPr="007A198E">
        <w:rPr>
          <w:rFonts w:ascii="Arial" w:hAnsi="Arial" w:cs="Arial"/>
          <w:b/>
          <w:bCs/>
          <w:sz w:val="22"/>
          <w:szCs w:val="22"/>
        </w:rPr>
        <w:t>Art. 81.</w:t>
      </w:r>
      <w:r w:rsidRPr="007A198E">
        <w:rPr>
          <w:rFonts w:ascii="Arial" w:hAnsi="Arial" w:cs="Arial"/>
          <w:sz w:val="22"/>
          <w:szCs w:val="22"/>
        </w:rPr>
        <w:t xml:space="preserve"> O Tribunal de Contas do Distrito Federal prestará contas anualmente de sua execução orçamentária, financeira e </w:t>
      </w:r>
      <w:r w:rsidRPr="007A198E">
        <w:rPr>
          <w:rFonts w:ascii="Arial" w:hAnsi="Arial" w:cs="Arial"/>
          <w:sz w:val="22"/>
          <w:szCs w:val="22"/>
        </w:rPr>
        <w:lastRenderedPageBreak/>
        <w:t xml:space="preserve">patrimonial à Câmara Legislativa, até sessenta dias da data da abertura da sessão do ano seguinte àquele a que se referir o exercício financeiro, quanto aos aspectos de legalidade, legitimidade e economicidade, observados os demais preceitos legais. </w:t>
      </w:r>
    </w:p>
    <w:p w14:paraId="0174E45E" w14:textId="1690042D" w:rsidR="00801237" w:rsidRPr="00801237" w:rsidRDefault="00801237" w:rsidP="007A198E">
      <w:pPr>
        <w:ind w:firstLine="708"/>
        <w:jc w:val="both"/>
        <w:rPr>
          <w:rFonts w:ascii="Arial" w:hAnsi="Arial" w:cs="Arial"/>
          <w:sz w:val="22"/>
          <w:szCs w:val="22"/>
        </w:rPr>
      </w:pPr>
      <w:r w:rsidRPr="00801237">
        <w:rPr>
          <w:rFonts w:ascii="Arial" w:hAnsi="Arial" w:cs="Arial"/>
          <w:sz w:val="22"/>
          <w:szCs w:val="22"/>
        </w:rPr>
        <w:t xml:space="preserve">Embora o Tribunal de Contas seja responsável por fiscalizar as contas dos gestores de recursos públicos no âmbito do Distrito Federal, suas próprias contas são fiscalizadas pela Câmara Legislativa do Distrito Federal, nos termos do </w:t>
      </w:r>
      <w:r w:rsidR="007A198E">
        <w:rPr>
          <w:rFonts w:ascii="Arial" w:hAnsi="Arial" w:cs="Arial"/>
          <w:sz w:val="22"/>
          <w:szCs w:val="22"/>
        </w:rPr>
        <w:t>art.</w:t>
      </w:r>
      <w:r w:rsidRPr="00801237">
        <w:rPr>
          <w:rFonts w:ascii="Arial" w:hAnsi="Arial" w:cs="Arial"/>
          <w:sz w:val="22"/>
          <w:szCs w:val="22"/>
        </w:rPr>
        <w:t xml:space="preserve"> 81 da Lei Orgânica do Distrito Federal. Assim, o Tribunal presta contas anualmente à CLDF, que delibera sobre sua execução orçamentária, financeira e patrimonial.</w:t>
      </w:r>
    </w:p>
    <w:p w14:paraId="7C699B5F" w14:textId="77777777" w:rsidR="00801237" w:rsidRDefault="00801237" w:rsidP="00C616CA">
      <w:pPr>
        <w:ind w:firstLine="708"/>
        <w:jc w:val="both"/>
        <w:rPr>
          <w:rFonts w:ascii="Arial" w:hAnsi="Arial" w:cs="Arial"/>
          <w:sz w:val="22"/>
          <w:szCs w:val="22"/>
        </w:rPr>
      </w:pPr>
      <w:r w:rsidRPr="00801237">
        <w:rPr>
          <w:rFonts w:ascii="Arial" w:hAnsi="Arial" w:cs="Arial"/>
          <w:sz w:val="22"/>
          <w:szCs w:val="22"/>
        </w:rPr>
        <w:t>A título de exemplo, na sessão legislativa de 2026, o Tribunal de Contas prestará contas referentes ao exercício financeiro de 2025. Da mesma forma, na sessão legislativa de 2027, apresentará as contas relativas ao exercício de 2026. Em ambos os casos, a prestação de contas deverá ocorrer até 60 dias após a abertura da respectiva sessão legislativa.</w:t>
      </w:r>
    </w:p>
    <w:p w14:paraId="124EB77C" w14:textId="77777777" w:rsidR="000C6F2E" w:rsidRPr="000C6F2E" w:rsidRDefault="000C6F2E" w:rsidP="000C6F2E">
      <w:pPr>
        <w:ind w:left="2124"/>
        <w:jc w:val="both"/>
        <w:rPr>
          <w:rFonts w:ascii="Arial" w:hAnsi="Arial" w:cs="Arial"/>
          <w:sz w:val="20"/>
          <w:szCs w:val="20"/>
        </w:rPr>
      </w:pPr>
      <w:r w:rsidRPr="000C6F2E">
        <w:rPr>
          <w:rFonts w:ascii="Arial" w:hAnsi="Arial" w:cs="Arial"/>
          <w:sz w:val="20"/>
          <w:szCs w:val="20"/>
        </w:rPr>
        <w:t xml:space="preserve">q) tomada de contas especial relativa a recursos repassados pelo Distrito Federal, mediante convênio, acordo, ajuste ou outros instrumentos congêneres; </w:t>
      </w:r>
    </w:p>
    <w:p w14:paraId="7A7A98AD" w14:textId="28C33C77" w:rsidR="00801237" w:rsidRPr="00801237" w:rsidRDefault="00801237" w:rsidP="00E802F1">
      <w:pPr>
        <w:ind w:firstLine="708"/>
        <w:jc w:val="both"/>
        <w:rPr>
          <w:rFonts w:ascii="Arial" w:hAnsi="Arial" w:cs="Arial"/>
          <w:sz w:val="22"/>
          <w:szCs w:val="22"/>
        </w:rPr>
      </w:pPr>
      <w:r w:rsidRPr="00801237">
        <w:rPr>
          <w:rFonts w:ascii="Arial" w:hAnsi="Arial" w:cs="Arial"/>
          <w:sz w:val="22"/>
          <w:szCs w:val="22"/>
        </w:rPr>
        <w:t>Nessas situações, verifica-se se a entidade beneficiária cumpriu as obrigações pactuadas e se houve regular aplicação dos recursos públicos, analisando eventual ocorrência de irregularidades.</w:t>
      </w:r>
    </w:p>
    <w:p w14:paraId="4C401251" w14:textId="11139446" w:rsidR="00801237" w:rsidRDefault="00801237" w:rsidP="00B1026B">
      <w:pPr>
        <w:ind w:firstLine="708"/>
        <w:jc w:val="both"/>
        <w:rPr>
          <w:rFonts w:ascii="Arial" w:hAnsi="Arial" w:cs="Arial"/>
          <w:sz w:val="22"/>
          <w:szCs w:val="22"/>
        </w:rPr>
      </w:pPr>
      <w:r w:rsidRPr="00801237">
        <w:rPr>
          <w:rFonts w:ascii="Arial" w:hAnsi="Arial" w:cs="Arial"/>
          <w:sz w:val="22"/>
          <w:szCs w:val="22"/>
        </w:rPr>
        <w:t>A legislação estabelece mecanismos de controle e fiscalização destinados a resguardar o patrimônio público e a evitar sua dilapidação. Nesse contexto, a atuação do Tribunal de Contas consiste em verificar o cumprimento das condições estabelecidas nos convênios, acordos, ajustes e instrumentos congêneres, exercendo essa competência por intermédio de seu Plenário.</w:t>
      </w:r>
      <w:r w:rsidR="00A72C97">
        <w:rPr>
          <w:rFonts w:ascii="Arial" w:hAnsi="Arial" w:cs="Arial"/>
          <w:sz w:val="22"/>
          <w:szCs w:val="22"/>
        </w:rPr>
        <w:t xml:space="preserve"> </w:t>
      </w:r>
      <w:r w:rsidR="00A72C97" w:rsidRPr="008C3802">
        <w:rPr>
          <w:rFonts w:ascii="Arial" w:hAnsi="Arial" w:cs="Arial"/>
          <w:b/>
          <w:bCs/>
          <w:sz w:val="22"/>
          <w:szCs w:val="22"/>
          <w:highlight w:val="yellow"/>
        </w:rPr>
        <w:t>10MIN</w:t>
      </w:r>
    </w:p>
    <w:p w14:paraId="184AB036" w14:textId="77777777" w:rsidR="00A73B04" w:rsidRPr="000C6F2E" w:rsidRDefault="00A73B04" w:rsidP="00E80661">
      <w:pPr>
        <w:spacing w:after="0"/>
        <w:ind w:left="2124"/>
        <w:jc w:val="both"/>
        <w:rPr>
          <w:rFonts w:ascii="Arial" w:hAnsi="Arial" w:cs="Arial"/>
          <w:sz w:val="20"/>
          <w:szCs w:val="20"/>
        </w:rPr>
      </w:pPr>
      <w:r w:rsidRPr="000C6F2E">
        <w:rPr>
          <w:rFonts w:ascii="Arial" w:hAnsi="Arial" w:cs="Arial"/>
          <w:sz w:val="20"/>
          <w:szCs w:val="20"/>
        </w:rPr>
        <w:t xml:space="preserve">r) atos de admissão de pessoal da administração direta e indireta, incluídas as fundações instituídas e mantidas pelo Distrito Federal; </w:t>
      </w:r>
    </w:p>
    <w:p w14:paraId="0456BCE5" w14:textId="77777777" w:rsidR="00A73B04" w:rsidRPr="000C6F2E" w:rsidRDefault="00A73B04" w:rsidP="00E80661">
      <w:pPr>
        <w:spacing w:after="0"/>
        <w:ind w:left="2124"/>
        <w:jc w:val="both"/>
        <w:rPr>
          <w:rFonts w:ascii="Arial" w:hAnsi="Arial" w:cs="Arial"/>
          <w:sz w:val="20"/>
          <w:szCs w:val="20"/>
        </w:rPr>
      </w:pPr>
      <w:r w:rsidRPr="000C6F2E">
        <w:rPr>
          <w:rFonts w:ascii="Arial" w:hAnsi="Arial" w:cs="Arial"/>
          <w:sz w:val="20"/>
          <w:szCs w:val="20"/>
        </w:rPr>
        <w:t xml:space="preserve">s) concessões de aposentadorias, reformas e pensões, ressalvadas as melhorias posteriores que não alterem a fundamentação legal dos atos iniciais concessórios; </w:t>
      </w:r>
    </w:p>
    <w:p w14:paraId="0E99564A" w14:textId="77777777" w:rsidR="00A73B04" w:rsidRDefault="00A73B04" w:rsidP="00E80661">
      <w:pPr>
        <w:spacing w:after="0"/>
        <w:ind w:left="2124"/>
        <w:jc w:val="both"/>
        <w:rPr>
          <w:rFonts w:ascii="Arial" w:hAnsi="Arial" w:cs="Arial"/>
          <w:sz w:val="20"/>
          <w:szCs w:val="20"/>
        </w:rPr>
      </w:pPr>
      <w:r w:rsidRPr="000C6F2E">
        <w:rPr>
          <w:rFonts w:ascii="Arial" w:hAnsi="Arial" w:cs="Arial"/>
          <w:sz w:val="20"/>
          <w:szCs w:val="20"/>
        </w:rPr>
        <w:t>t) representação ao Governador e à Câmara Legislativa;</w:t>
      </w:r>
    </w:p>
    <w:p w14:paraId="12C18C09" w14:textId="28FF1DAA" w:rsidR="008637A2" w:rsidRPr="000C6F2E" w:rsidRDefault="008637A2" w:rsidP="00A73B04">
      <w:pPr>
        <w:ind w:left="2124"/>
        <w:jc w:val="both"/>
        <w:rPr>
          <w:rFonts w:ascii="Arial" w:hAnsi="Arial" w:cs="Arial"/>
          <w:sz w:val="20"/>
          <w:szCs w:val="20"/>
        </w:rPr>
      </w:pPr>
      <w:r w:rsidRPr="008637A2">
        <w:rPr>
          <w:rFonts w:ascii="Arial" w:hAnsi="Arial" w:cs="Arial"/>
          <w:sz w:val="20"/>
          <w:szCs w:val="20"/>
        </w:rPr>
        <w:t>u) matérias a que se refere o art. 2º deste Regimento e outros assuntos de natureza administrativa que lhe sejam submetidos pelo Presidente;</w:t>
      </w:r>
    </w:p>
    <w:p w14:paraId="447EB449" w14:textId="5B6219A6" w:rsidR="00801237" w:rsidRDefault="00801237" w:rsidP="005264D2">
      <w:pPr>
        <w:ind w:firstLine="708"/>
        <w:jc w:val="both"/>
        <w:rPr>
          <w:rFonts w:ascii="Arial" w:hAnsi="Arial" w:cs="Arial"/>
          <w:sz w:val="22"/>
          <w:szCs w:val="22"/>
        </w:rPr>
      </w:pPr>
      <w:r w:rsidRPr="00801237">
        <w:rPr>
          <w:rFonts w:ascii="Arial" w:hAnsi="Arial" w:cs="Arial"/>
          <w:sz w:val="22"/>
          <w:szCs w:val="22"/>
        </w:rPr>
        <w:t>Trata-se de competência originária do Plenário.</w:t>
      </w:r>
    </w:p>
    <w:p w14:paraId="10C11C29" w14:textId="58728612" w:rsidR="005264D2" w:rsidRPr="008B39C8" w:rsidRDefault="005264D2" w:rsidP="008B39C8">
      <w:pPr>
        <w:ind w:left="2124"/>
        <w:jc w:val="both"/>
        <w:rPr>
          <w:rFonts w:ascii="Arial" w:hAnsi="Arial" w:cs="Arial"/>
          <w:sz w:val="18"/>
          <w:szCs w:val="18"/>
        </w:rPr>
      </w:pPr>
      <w:r w:rsidRPr="008B39C8">
        <w:rPr>
          <w:rFonts w:ascii="Arial" w:hAnsi="Arial" w:cs="Arial"/>
          <w:sz w:val="20"/>
          <w:szCs w:val="20"/>
        </w:rPr>
        <w:t xml:space="preserve">IV </w:t>
      </w:r>
      <w:r w:rsidR="008B39C8">
        <w:rPr>
          <w:rFonts w:ascii="Arial" w:hAnsi="Arial" w:cs="Arial"/>
          <w:sz w:val="20"/>
          <w:szCs w:val="20"/>
        </w:rPr>
        <w:t>–</w:t>
      </w:r>
      <w:r w:rsidRPr="008B39C8">
        <w:rPr>
          <w:rFonts w:ascii="Arial" w:hAnsi="Arial" w:cs="Arial"/>
          <w:sz w:val="20"/>
          <w:szCs w:val="20"/>
        </w:rPr>
        <w:t xml:space="preserve"> </w:t>
      </w:r>
      <w:proofErr w:type="gramStart"/>
      <w:r w:rsidRPr="008B39C8">
        <w:rPr>
          <w:rFonts w:ascii="Arial" w:hAnsi="Arial" w:cs="Arial"/>
          <w:sz w:val="20"/>
          <w:szCs w:val="20"/>
        </w:rPr>
        <w:t>deliberar</w:t>
      </w:r>
      <w:proofErr w:type="gramEnd"/>
      <w:r w:rsidRPr="008B39C8">
        <w:rPr>
          <w:rFonts w:ascii="Arial" w:hAnsi="Arial" w:cs="Arial"/>
          <w:sz w:val="20"/>
          <w:szCs w:val="20"/>
        </w:rPr>
        <w:t xml:space="preserve"> sobre a inclusão, alteração e cancelamento de enunciados da súmula da jurisprudência do Tribunal;</w:t>
      </w:r>
    </w:p>
    <w:p w14:paraId="0F47F9A6" w14:textId="39A7BA04" w:rsidR="00D967EA" w:rsidRPr="00D967EA" w:rsidRDefault="00D967EA" w:rsidP="00E42C27">
      <w:pPr>
        <w:ind w:firstLine="708"/>
        <w:jc w:val="both"/>
        <w:rPr>
          <w:rFonts w:ascii="Arial" w:hAnsi="Arial" w:cs="Arial"/>
          <w:sz w:val="22"/>
          <w:szCs w:val="22"/>
        </w:rPr>
      </w:pPr>
      <w:r w:rsidRPr="00D967EA">
        <w:rPr>
          <w:rFonts w:ascii="Arial" w:hAnsi="Arial" w:cs="Arial"/>
          <w:sz w:val="22"/>
          <w:szCs w:val="22"/>
        </w:rPr>
        <w:t>Essa atribuição decorre da consolidação de entendimentos firmados pelo Tribunal ao julgar, de forma reiterada, determinada matéria. Uma vez consolidada a jurisprudência, o entendimento pode ser sumulado.</w:t>
      </w:r>
    </w:p>
    <w:p w14:paraId="57411392" w14:textId="77777777" w:rsidR="00D967EA" w:rsidRDefault="00D967EA" w:rsidP="009C0940">
      <w:pPr>
        <w:ind w:firstLine="708"/>
        <w:jc w:val="both"/>
        <w:rPr>
          <w:rFonts w:ascii="Arial" w:hAnsi="Arial" w:cs="Arial"/>
          <w:sz w:val="22"/>
          <w:szCs w:val="22"/>
        </w:rPr>
      </w:pPr>
      <w:r w:rsidRPr="00D967EA">
        <w:rPr>
          <w:rFonts w:ascii="Arial" w:hAnsi="Arial" w:cs="Arial"/>
          <w:sz w:val="22"/>
          <w:szCs w:val="22"/>
        </w:rPr>
        <w:t xml:space="preserve">As súmulas do Tribunal de Contas exercem importante função orientadora, servindo de referência para as decisões adotadas no âmbito da Administração Pública do Distrito Federal. Assim, os órgãos e autoridades administrativas devem observar os </w:t>
      </w:r>
      <w:r w:rsidRPr="00D967EA">
        <w:rPr>
          <w:rFonts w:ascii="Arial" w:hAnsi="Arial" w:cs="Arial"/>
          <w:sz w:val="22"/>
          <w:szCs w:val="22"/>
        </w:rPr>
        <w:lastRenderedPageBreak/>
        <w:t>entendimentos sumulados, evitando adotar condutas contrárias à orientação consolidada do Tribunal. Desse modo, as súmulas do TCDF orientam a atuação dos administradores públicos, bem como dos órgãos e entidades da Administração Pública distrital.</w:t>
      </w:r>
    </w:p>
    <w:p w14:paraId="53C87CE6" w14:textId="082E7D00" w:rsidR="00BF68BB" w:rsidRDefault="00BF68BB" w:rsidP="00A572F8">
      <w:pPr>
        <w:spacing w:after="0"/>
        <w:ind w:left="2124"/>
        <w:jc w:val="both"/>
        <w:rPr>
          <w:rFonts w:ascii="Arial" w:hAnsi="Arial" w:cs="Arial"/>
          <w:sz w:val="20"/>
          <w:szCs w:val="20"/>
        </w:rPr>
      </w:pPr>
      <w:r w:rsidRPr="00BF68BB">
        <w:rPr>
          <w:rFonts w:ascii="Arial" w:hAnsi="Arial" w:cs="Arial"/>
          <w:sz w:val="20"/>
          <w:szCs w:val="20"/>
        </w:rPr>
        <w:t xml:space="preserve">VI </w:t>
      </w:r>
      <w:r w:rsidR="00803597">
        <w:rPr>
          <w:rFonts w:ascii="Arial" w:hAnsi="Arial" w:cs="Arial"/>
          <w:sz w:val="20"/>
          <w:szCs w:val="20"/>
        </w:rPr>
        <w:t>–</w:t>
      </w:r>
      <w:r w:rsidRPr="00BF68BB">
        <w:rPr>
          <w:rFonts w:ascii="Arial" w:hAnsi="Arial" w:cs="Arial"/>
          <w:sz w:val="20"/>
          <w:szCs w:val="20"/>
        </w:rPr>
        <w:t xml:space="preserve"> </w:t>
      </w:r>
      <w:proofErr w:type="gramStart"/>
      <w:r w:rsidRPr="00BF68BB">
        <w:rPr>
          <w:rFonts w:ascii="Arial" w:hAnsi="Arial" w:cs="Arial"/>
          <w:sz w:val="20"/>
          <w:szCs w:val="20"/>
        </w:rPr>
        <w:t>aprovar</w:t>
      </w:r>
      <w:proofErr w:type="gramEnd"/>
      <w:r w:rsidRPr="00BF68BB">
        <w:rPr>
          <w:rFonts w:ascii="Arial" w:hAnsi="Arial" w:cs="Arial"/>
          <w:sz w:val="20"/>
          <w:szCs w:val="20"/>
        </w:rPr>
        <w:t xml:space="preserve"> proposta de acordo de cooperação ou de outros instrumentos similares, objetivando o intercâmbio de informações que visem ao aperfeiçoamento dos sistemas de controle e fiscalização;</w:t>
      </w:r>
    </w:p>
    <w:p w14:paraId="615A626B" w14:textId="618F32C7" w:rsidR="001018FE" w:rsidRDefault="00863969" w:rsidP="00BF68BB">
      <w:pPr>
        <w:ind w:left="2124"/>
        <w:jc w:val="both"/>
        <w:rPr>
          <w:rFonts w:ascii="Arial" w:hAnsi="Arial" w:cs="Arial"/>
          <w:sz w:val="20"/>
          <w:szCs w:val="20"/>
        </w:rPr>
      </w:pPr>
      <w:r w:rsidRPr="00863969">
        <w:rPr>
          <w:rFonts w:ascii="Arial" w:hAnsi="Arial" w:cs="Arial"/>
          <w:sz w:val="20"/>
          <w:szCs w:val="20"/>
        </w:rPr>
        <w:t xml:space="preserve">VII </w:t>
      </w:r>
      <w:r w:rsidR="001018FE">
        <w:rPr>
          <w:rFonts w:ascii="Arial" w:hAnsi="Arial" w:cs="Arial"/>
          <w:sz w:val="20"/>
          <w:szCs w:val="20"/>
        </w:rPr>
        <w:t>–</w:t>
      </w:r>
      <w:r w:rsidRPr="00863969">
        <w:rPr>
          <w:rFonts w:ascii="Arial" w:hAnsi="Arial" w:cs="Arial"/>
          <w:sz w:val="20"/>
          <w:szCs w:val="20"/>
        </w:rPr>
        <w:t xml:space="preserve"> aprovar propostas que o Tribunal deva encaminhar ao Poder Executivo, referentes aos projetos de que tratem do plano plurianual, das diretrizes orçamentárias e do orçamento anual; </w:t>
      </w:r>
    </w:p>
    <w:p w14:paraId="4C3C64F0" w14:textId="7FFD4331" w:rsidR="001018FE" w:rsidRPr="00A572F8" w:rsidRDefault="001018FE" w:rsidP="00A572F8">
      <w:pPr>
        <w:ind w:firstLine="708"/>
        <w:jc w:val="both"/>
        <w:rPr>
          <w:rFonts w:ascii="Arial" w:hAnsi="Arial" w:cs="Arial"/>
          <w:sz w:val="22"/>
          <w:szCs w:val="22"/>
        </w:rPr>
      </w:pPr>
      <w:r w:rsidRPr="00D967EA">
        <w:rPr>
          <w:rFonts w:ascii="Arial" w:hAnsi="Arial" w:cs="Arial"/>
          <w:sz w:val="22"/>
          <w:szCs w:val="22"/>
        </w:rPr>
        <w:t>Essa atribuição decorre da autonomia orçamentária e financeira conferida ao Tribunal de Contas. Em razão dessa autonomia, o Tribunal elabora sua própria proposta orçamentária e a encaminha ao Poder Executivo, a quem compete consolidar as propostas dos diversos órgãos e Poderes e deflagrar o processo legislativo das leis orçamentárias. No âmbito do Distrito Federal, essa competência constitucional é exercida pelo Governador, que consolida as propostas recebidas e as encaminha à Câmara Legislativa do Distrito Federal para apreciação e aprovação. Após a aprovação da legislação orçamentária, sua execução deve ocorrer na forma estabelecida em lei.</w:t>
      </w:r>
    </w:p>
    <w:p w14:paraId="2A765788" w14:textId="19880026" w:rsidR="00863969" w:rsidRPr="00BF68BB" w:rsidRDefault="00863969" w:rsidP="00BF68BB">
      <w:pPr>
        <w:ind w:left="2124"/>
        <w:jc w:val="both"/>
        <w:rPr>
          <w:rFonts w:ascii="Arial" w:hAnsi="Arial" w:cs="Arial"/>
          <w:sz w:val="20"/>
          <w:szCs w:val="20"/>
        </w:rPr>
      </w:pPr>
      <w:r w:rsidRPr="00863969">
        <w:rPr>
          <w:rFonts w:ascii="Arial" w:hAnsi="Arial" w:cs="Arial"/>
          <w:sz w:val="20"/>
          <w:szCs w:val="20"/>
        </w:rPr>
        <w:t xml:space="preserve">VIII </w:t>
      </w:r>
      <w:r w:rsidR="001018FE">
        <w:rPr>
          <w:rFonts w:ascii="Arial" w:hAnsi="Arial" w:cs="Arial"/>
          <w:sz w:val="20"/>
          <w:szCs w:val="20"/>
        </w:rPr>
        <w:t>–</w:t>
      </w:r>
      <w:r w:rsidRPr="00863969">
        <w:rPr>
          <w:rFonts w:ascii="Arial" w:hAnsi="Arial" w:cs="Arial"/>
          <w:sz w:val="20"/>
          <w:szCs w:val="20"/>
        </w:rPr>
        <w:t xml:space="preserve"> elaborar a lista tríplice dos Auditores e a dos membros do Ministério Público junto ao Tribunal para preenchimento de cargo de Conselheiro;</w:t>
      </w:r>
    </w:p>
    <w:p w14:paraId="4EC00294" w14:textId="38D0DBB5" w:rsidR="00D967EA" w:rsidRPr="00D967EA" w:rsidRDefault="00D967EA" w:rsidP="00FF4308">
      <w:pPr>
        <w:ind w:firstLine="708"/>
        <w:jc w:val="both"/>
        <w:rPr>
          <w:rFonts w:ascii="Arial" w:hAnsi="Arial" w:cs="Arial"/>
          <w:sz w:val="22"/>
          <w:szCs w:val="22"/>
        </w:rPr>
      </w:pPr>
      <w:r w:rsidRPr="00D967EA">
        <w:rPr>
          <w:rFonts w:ascii="Arial" w:hAnsi="Arial" w:cs="Arial"/>
          <w:sz w:val="22"/>
          <w:szCs w:val="22"/>
        </w:rPr>
        <w:t>No caso das vagas destinadas aos membros do Ministério Público junto ao Tribunal, é elaborada uma lista tríplice, encaminhada ao Governador do Distrito Federal, que escolherá um dos nomes. O mesmo procedimento é adotado para as vagas destinadas aos auditores. Apenas a vaga de livre escolha do Governador dispensa a elaboração de lista tríplice.</w:t>
      </w:r>
      <w:r w:rsidR="00251022">
        <w:rPr>
          <w:rFonts w:ascii="Arial" w:hAnsi="Arial" w:cs="Arial"/>
          <w:sz w:val="22"/>
          <w:szCs w:val="22"/>
        </w:rPr>
        <w:t xml:space="preserve"> </w:t>
      </w:r>
      <w:r w:rsidR="00251022" w:rsidRPr="00C9246B">
        <w:rPr>
          <w:rFonts w:ascii="Arial" w:hAnsi="Arial" w:cs="Arial"/>
          <w:b/>
          <w:bCs/>
          <w:sz w:val="22"/>
          <w:szCs w:val="22"/>
          <w:highlight w:val="yellow"/>
        </w:rPr>
        <w:t>15MIN</w:t>
      </w:r>
    </w:p>
    <w:p w14:paraId="55FE1BF7" w14:textId="324C6CCA" w:rsidR="009F357F" w:rsidRDefault="00D967EA" w:rsidP="00097DF4">
      <w:pPr>
        <w:ind w:firstLine="708"/>
        <w:jc w:val="both"/>
        <w:rPr>
          <w:rFonts w:ascii="Arial" w:hAnsi="Arial" w:cs="Arial"/>
          <w:sz w:val="22"/>
          <w:szCs w:val="22"/>
        </w:rPr>
      </w:pPr>
      <w:r w:rsidRPr="00D967EA">
        <w:rPr>
          <w:rFonts w:ascii="Arial" w:hAnsi="Arial" w:cs="Arial"/>
          <w:sz w:val="22"/>
          <w:szCs w:val="22"/>
        </w:rPr>
        <w:t>Após a escolha pelo Governador, o nome é submetido à aprovação da Câmara Legislativa do Distrito Federal. Concluída a aprovação, o nome retorna ao Governador para a nomeação.</w:t>
      </w:r>
    </w:p>
    <w:p w14:paraId="6B646EA5" w14:textId="403AE337" w:rsidR="009F357F" w:rsidRPr="009F357F" w:rsidRDefault="009F357F" w:rsidP="00097DF4">
      <w:pPr>
        <w:spacing w:after="0"/>
        <w:ind w:left="2124"/>
        <w:jc w:val="both"/>
        <w:rPr>
          <w:rFonts w:ascii="Arial" w:hAnsi="Arial" w:cs="Arial"/>
          <w:sz w:val="20"/>
          <w:szCs w:val="20"/>
        </w:rPr>
      </w:pPr>
      <w:r w:rsidRPr="009F357F">
        <w:rPr>
          <w:rFonts w:ascii="Arial" w:hAnsi="Arial" w:cs="Arial"/>
          <w:sz w:val="20"/>
          <w:szCs w:val="20"/>
        </w:rPr>
        <w:t xml:space="preserve">X </w:t>
      </w:r>
      <w:r w:rsidR="008678DC">
        <w:rPr>
          <w:rFonts w:ascii="Arial" w:hAnsi="Arial" w:cs="Arial"/>
          <w:sz w:val="20"/>
          <w:szCs w:val="20"/>
        </w:rPr>
        <w:t>–</w:t>
      </w:r>
      <w:r w:rsidRPr="009F357F">
        <w:rPr>
          <w:rFonts w:ascii="Arial" w:hAnsi="Arial" w:cs="Arial"/>
          <w:sz w:val="20"/>
          <w:szCs w:val="20"/>
        </w:rPr>
        <w:t xml:space="preserve"> </w:t>
      </w:r>
      <w:proofErr w:type="gramStart"/>
      <w:r w:rsidRPr="009F357F">
        <w:rPr>
          <w:rFonts w:ascii="Arial" w:hAnsi="Arial" w:cs="Arial"/>
          <w:sz w:val="20"/>
          <w:szCs w:val="20"/>
        </w:rPr>
        <w:t>deliberar</w:t>
      </w:r>
      <w:proofErr w:type="gramEnd"/>
      <w:r w:rsidRPr="009F357F">
        <w:rPr>
          <w:rFonts w:ascii="Arial" w:hAnsi="Arial" w:cs="Arial"/>
          <w:sz w:val="20"/>
          <w:szCs w:val="20"/>
        </w:rPr>
        <w:t xml:space="preserve"> sobre os incidentes de suspeição ou impedimento nos termos deste Regimento; </w:t>
      </w:r>
    </w:p>
    <w:p w14:paraId="5AA9B2D2" w14:textId="5BB459CB" w:rsidR="009F357F" w:rsidRDefault="009F357F" w:rsidP="00097DF4">
      <w:pPr>
        <w:spacing w:after="0"/>
        <w:ind w:left="2124"/>
        <w:jc w:val="both"/>
        <w:rPr>
          <w:rFonts w:ascii="Arial" w:hAnsi="Arial" w:cs="Arial"/>
          <w:sz w:val="20"/>
          <w:szCs w:val="20"/>
        </w:rPr>
      </w:pPr>
      <w:r w:rsidRPr="009F357F">
        <w:rPr>
          <w:rFonts w:ascii="Arial" w:hAnsi="Arial" w:cs="Arial"/>
          <w:sz w:val="20"/>
          <w:szCs w:val="20"/>
        </w:rPr>
        <w:t xml:space="preserve">XI </w:t>
      </w:r>
      <w:r w:rsidR="008678DC">
        <w:rPr>
          <w:rFonts w:ascii="Arial" w:hAnsi="Arial" w:cs="Arial"/>
          <w:sz w:val="20"/>
          <w:szCs w:val="20"/>
        </w:rPr>
        <w:t>–</w:t>
      </w:r>
      <w:r w:rsidRPr="009F357F">
        <w:rPr>
          <w:rFonts w:ascii="Arial" w:hAnsi="Arial" w:cs="Arial"/>
          <w:sz w:val="20"/>
          <w:szCs w:val="20"/>
        </w:rPr>
        <w:t xml:space="preserve"> deliberar, por proposta do Presidente, sobre a aplicação das penas disciplinares de demissão e cassação de aposentadoria ou disponibilidade a servidores do Tribunal;</w:t>
      </w:r>
    </w:p>
    <w:p w14:paraId="7356FEF0" w14:textId="3B07178E" w:rsidR="008678DC" w:rsidRPr="009F357F" w:rsidRDefault="008678DC" w:rsidP="009F357F">
      <w:pPr>
        <w:ind w:left="2124"/>
        <w:jc w:val="both"/>
        <w:rPr>
          <w:rFonts w:ascii="Arial" w:hAnsi="Arial" w:cs="Arial"/>
          <w:sz w:val="20"/>
          <w:szCs w:val="20"/>
        </w:rPr>
      </w:pPr>
      <w:r w:rsidRPr="008678DC">
        <w:rPr>
          <w:rFonts w:ascii="Arial" w:hAnsi="Arial" w:cs="Arial"/>
          <w:sz w:val="20"/>
          <w:szCs w:val="20"/>
        </w:rPr>
        <w:t xml:space="preserve">XII </w:t>
      </w:r>
      <w:r w:rsidR="00CF4842">
        <w:rPr>
          <w:rFonts w:ascii="Arial" w:hAnsi="Arial" w:cs="Arial"/>
          <w:sz w:val="20"/>
          <w:szCs w:val="20"/>
        </w:rPr>
        <w:t>–</w:t>
      </w:r>
      <w:r w:rsidRPr="008678DC">
        <w:rPr>
          <w:rFonts w:ascii="Arial" w:hAnsi="Arial" w:cs="Arial"/>
          <w:sz w:val="20"/>
          <w:szCs w:val="20"/>
        </w:rPr>
        <w:t xml:space="preserve"> apreciar recurso interposto em face de decisão que aplicar as penas disciplinares a servidores do Tribunal.</w:t>
      </w:r>
    </w:p>
    <w:p w14:paraId="477056A6" w14:textId="426A08B1" w:rsidR="00D967EA" w:rsidRDefault="00D967EA" w:rsidP="00CF4842">
      <w:pPr>
        <w:ind w:firstLine="708"/>
        <w:jc w:val="both"/>
        <w:rPr>
          <w:rFonts w:ascii="Arial" w:hAnsi="Arial" w:cs="Arial"/>
          <w:sz w:val="22"/>
          <w:szCs w:val="22"/>
        </w:rPr>
      </w:pPr>
      <w:r w:rsidRPr="00D967EA">
        <w:rPr>
          <w:rFonts w:ascii="Arial" w:hAnsi="Arial" w:cs="Arial"/>
          <w:sz w:val="22"/>
          <w:szCs w:val="22"/>
        </w:rPr>
        <w:t>Encerradas as competências previstas no ar</w:t>
      </w:r>
      <w:r w:rsidR="00CF4842">
        <w:rPr>
          <w:rFonts w:ascii="Arial" w:hAnsi="Arial" w:cs="Arial"/>
          <w:sz w:val="22"/>
          <w:szCs w:val="22"/>
        </w:rPr>
        <w:t>t.</w:t>
      </w:r>
      <w:r w:rsidRPr="00D967EA">
        <w:rPr>
          <w:rFonts w:ascii="Arial" w:hAnsi="Arial" w:cs="Arial"/>
          <w:sz w:val="22"/>
          <w:szCs w:val="22"/>
        </w:rPr>
        <w:t xml:space="preserve"> 13, o </w:t>
      </w:r>
      <w:r w:rsidR="00CF4842">
        <w:rPr>
          <w:rFonts w:ascii="Arial" w:hAnsi="Arial" w:cs="Arial"/>
          <w:sz w:val="22"/>
          <w:szCs w:val="22"/>
        </w:rPr>
        <w:t>art.</w:t>
      </w:r>
      <w:r w:rsidRPr="00D967EA">
        <w:rPr>
          <w:rFonts w:ascii="Arial" w:hAnsi="Arial" w:cs="Arial"/>
          <w:sz w:val="22"/>
          <w:szCs w:val="22"/>
        </w:rPr>
        <w:t xml:space="preserve"> 14 do Regimento Interno disciplina outras atribuições do Plenário, de natureza predominantemente administrativa. Enquanto as competências anteriormente estudadas concentram-se, em grande parte, na função de julgamento, as previstas no artigo 14 relacionam-se à gestão administrativa do Tribunal.</w:t>
      </w:r>
    </w:p>
    <w:p w14:paraId="3FC9E26A" w14:textId="77777777" w:rsidR="004E5BFE" w:rsidRDefault="00CF4842" w:rsidP="00C9246B">
      <w:pPr>
        <w:spacing w:after="0"/>
        <w:ind w:left="2124"/>
        <w:jc w:val="both"/>
        <w:rPr>
          <w:rFonts w:ascii="Arial" w:hAnsi="Arial" w:cs="Arial"/>
          <w:sz w:val="20"/>
          <w:szCs w:val="20"/>
        </w:rPr>
      </w:pPr>
      <w:r w:rsidRPr="00EC32A1">
        <w:rPr>
          <w:rFonts w:ascii="Arial" w:hAnsi="Arial" w:cs="Arial"/>
          <w:sz w:val="20"/>
          <w:szCs w:val="20"/>
        </w:rPr>
        <w:t xml:space="preserve">Encerrando este capítulo, o art. 14 do RITCDF elenca outras competências do plenário, predominantemente administrativas. Assim, conforme art. 14, compete ainda ao Plenário: </w:t>
      </w:r>
    </w:p>
    <w:p w14:paraId="3438D0BA" w14:textId="5FB35CBD" w:rsidR="00CF4842" w:rsidRDefault="00CF4842" w:rsidP="00C9246B">
      <w:pPr>
        <w:spacing w:after="0"/>
        <w:ind w:left="2124"/>
        <w:jc w:val="both"/>
        <w:rPr>
          <w:rFonts w:ascii="Arial" w:hAnsi="Arial" w:cs="Arial"/>
          <w:sz w:val="20"/>
          <w:szCs w:val="20"/>
        </w:rPr>
      </w:pPr>
      <w:r w:rsidRPr="00EC32A1">
        <w:rPr>
          <w:rFonts w:ascii="Arial" w:hAnsi="Arial" w:cs="Arial"/>
          <w:sz w:val="20"/>
          <w:szCs w:val="20"/>
        </w:rPr>
        <w:t xml:space="preserve">I </w:t>
      </w:r>
      <w:r w:rsidR="004E5BFE">
        <w:rPr>
          <w:rFonts w:ascii="Arial" w:hAnsi="Arial" w:cs="Arial"/>
          <w:sz w:val="20"/>
          <w:szCs w:val="20"/>
        </w:rPr>
        <w:t>–</w:t>
      </w:r>
      <w:r w:rsidRPr="00EC32A1">
        <w:rPr>
          <w:rFonts w:ascii="Arial" w:hAnsi="Arial" w:cs="Arial"/>
          <w:sz w:val="20"/>
          <w:szCs w:val="20"/>
        </w:rPr>
        <w:t xml:space="preserve"> </w:t>
      </w:r>
      <w:proofErr w:type="gramStart"/>
      <w:r w:rsidRPr="00EC32A1">
        <w:rPr>
          <w:rFonts w:ascii="Arial" w:hAnsi="Arial" w:cs="Arial"/>
          <w:sz w:val="20"/>
          <w:szCs w:val="20"/>
        </w:rPr>
        <w:t>criar</w:t>
      </w:r>
      <w:proofErr w:type="gramEnd"/>
      <w:r w:rsidRPr="00EC32A1">
        <w:rPr>
          <w:rFonts w:ascii="Arial" w:hAnsi="Arial" w:cs="Arial"/>
          <w:sz w:val="20"/>
          <w:szCs w:val="20"/>
        </w:rPr>
        <w:t xml:space="preserve"> comissões permanentes ou temporárias e designar os seus membros, dentre Conselheiros e Auditores, para colaborar no </w:t>
      </w:r>
      <w:r w:rsidRPr="00EC32A1">
        <w:rPr>
          <w:rFonts w:ascii="Arial" w:hAnsi="Arial" w:cs="Arial"/>
          <w:sz w:val="20"/>
          <w:szCs w:val="20"/>
        </w:rPr>
        <w:lastRenderedPageBreak/>
        <w:t>desempenho de suas atribuições, sem prejuízo do disposto no art. 16, inciso XXXVIII, deste Regimento (prerrogativa do Presidente do TCDF de criar comissões permanentes ou temporárias e designar os seus membros dentre os servidores do Quadro de Pessoal dos Serviços Auxiliares);</w:t>
      </w:r>
    </w:p>
    <w:p w14:paraId="29F27CA7" w14:textId="6BC64D6B" w:rsidR="002D5411" w:rsidRDefault="00052930" w:rsidP="00C9246B">
      <w:pPr>
        <w:spacing w:after="0"/>
        <w:ind w:left="2124"/>
        <w:jc w:val="both"/>
        <w:rPr>
          <w:rFonts w:ascii="Arial" w:hAnsi="Arial" w:cs="Arial"/>
          <w:sz w:val="20"/>
          <w:szCs w:val="20"/>
        </w:rPr>
      </w:pPr>
      <w:r w:rsidRPr="00052930">
        <w:rPr>
          <w:rFonts w:ascii="Arial" w:hAnsi="Arial" w:cs="Arial"/>
          <w:sz w:val="20"/>
          <w:szCs w:val="20"/>
        </w:rPr>
        <w:t xml:space="preserve">II </w:t>
      </w:r>
      <w:r w:rsidR="002D5411">
        <w:rPr>
          <w:rFonts w:ascii="Arial" w:hAnsi="Arial" w:cs="Arial"/>
          <w:sz w:val="20"/>
          <w:szCs w:val="20"/>
        </w:rPr>
        <w:t>–</w:t>
      </w:r>
      <w:r w:rsidRPr="00052930">
        <w:rPr>
          <w:rFonts w:ascii="Arial" w:hAnsi="Arial" w:cs="Arial"/>
          <w:sz w:val="20"/>
          <w:szCs w:val="20"/>
        </w:rPr>
        <w:t xml:space="preserve"> </w:t>
      </w:r>
      <w:proofErr w:type="gramStart"/>
      <w:r w:rsidRPr="00052930">
        <w:rPr>
          <w:rFonts w:ascii="Arial" w:hAnsi="Arial" w:cs="Arial"/>
          <w:sz w:val="20"/>
          <w:szCs w:val="20"/>
        </w:rPr>
        <w:t>apreciar</w:t>
      </w:r>
      <w:proofErr w:type="gramEnd"/>
      <w:r w:rsidRPr="00052930">
        <w:rPr>
          <w:rFonts w:ascii="Arial" w:hAnsi="Arial" w:cs="Arial"/>
          <w:sz w:val="20"/>
          <w:szCs w:val="20"/>
        </w:rPr>
        <w:t xml:space="preserve"> questões administrativas de caráter relevante; </w:t>
      </w:r>
    </w:p>
    <w:p w14:paraId="694B91E0" w14:textId="58ED679C" w:rsidR="00052930" w:rsidRPr="00EC32A1" w:rsidRDefault="00052930" w:rsidP="00EC32A1">
      <w:pPr>
        <w:ind w:left="2124"/>
        <w:jc w:val="both"/>
        <w:rPr>
          <w:rFonts w:ascii="Arial" w:hAnsi="Arial" w:cs="Arial"/>
          <w:sz w:val="20"/>
          <w:szCs w:val="20"/>
        </w:rPr>
      </w:pPr>
      <w:r w:rsidRPr="00052930">
        <w:rPr>
          <w:rFonts w:ascii="Arial" w:hAnsi="Arial" w:cs="Arial"/>
          <w:sz w:val="20"/>
          <w:szCs w:val="20"/>
        </w:rPr>
        <w:t xml:space="preserve">III </w:t>
      </w:r>
      <w:r w:rsidR="002D5411">
        <w:rPr>
          <w:rFonts w:ascii="Arial" w:hAnsi="Arial" w:cs="Arial"/>
          <w:sz w:val="20"/>
          <w:szCs w:val="20"/>
        </w:rPr>
        <w:t>–</w:t>
      </w:r>
      <w:r w:rsidRPr="00052930">
        <w:rPr>
          <w:rFonts w:ascii="Arial" w:hAnsi="Arial" w:cs="Arial"/>
          <w:sz w:val="20"/>
          <w:szCs w:val="20"/>
        </w:rPr>
        <w:t xml:space="preserve"> deliberar sobre propostas de determinações de caráter normativo, de estudos sobre procedimentos técnicos, bem como daqueles em que se entender necessário o exame incidental de inconstitucionalidade de lei ou de ato normativo do poder público.</w:t>
      </w:r>
    </w:p>
    <w:p w14:paraId="60158EA8" w14:textId="3FADF264" w:rsidR="00672685" w:rsidRDefault="00672685" w:rsidP="002D5411">
      <w:pPr>
        <w:ind w:firstLine="708"/>
        <w:jc w:val="both"/>
        <w:rPr>
          <w:rFonts w:ascii="Arial" w:hAnsi="Arial" w:cs="Arial"/>
          <w:sz w:val="22"/>
          <w:szCs w:val="22"/>
        </w:rPr>
      </w:pPr>
      <w:r w:rsidRPr="00672685">
        <w:rPr>
          <w:rFonts w:ascii="Arial" w:hAnsi="Arial" w:cs="Arial"/>
          <w:sz w:val="22"/>
          <w:szCs w:val="22"/>
        </w:rPr>
        <w:t>Assim, quem utiliza versões antigas do Regimento deve atentar para essa atualização normativa.</w:t>
      </w:r>
    </w:p>
    <w:p w14:paraId="0CCCBED8" w14:textId="375426A9" w:rsidR="002D5411" w:rsidRDefault="005F602E" w:rsidP="00C9246B">
      <w:pPr>
        <w:spacing w:after="0"/>
        <w:ind w:left="2124"/>
        <w:jc w:val="both"/>
        <w:rPr>
          <w:rFonts w:ascii="Arial" w:hAnsi="Arial" w:cs="Arial"/>
          <w:sz w:val="20"/>
          <w:szCs w:val="20"/>
        </w:rPr>
      </w:pPr>
      <w:r w:rsidRPr="006A4CE2">
        <w:rPr>
          <w:rFonts w:ascii="Arial" w:hAnsi="Arial" w:cs="Arial"/>
          <w:sz w:val="20"/>
          <w:szCs w:val="20"/>
        </w:rPr>
        <w:t>É permanente a Comissão de Regimento e de Jurisprudência. (Art. 14, Parágrafo único)</w:t>
      </w:r>
    </w:p>
    <w:p w14:paraId="7F74E303" w14:textId="2D887395" w:rsidR="00190613" w:rsidRDefault="00190613" w:rsidP="00C9246B">
      <w:pPr>
        <w:spacing w:after="0"/>
        <w:ind w:left="2124"/>
        <w:jc w:val="both"/>
        <w:rPr>
          <w:rFonts w:ascii="Arial" w:hAnsi="Arial" w:cs="Arial"/>
          <w:sz w:val="20"/>
          <w:szCs w:val="20"/>
        </w:rPr>
      </w:pPr>
      <w:r w:rsidRPr="00190613">
        <w:rPr>
          <w:rFonts w:ascii="Arial" w:hAnsi="Arial" w:cs="Arial"/>
          <w:sz w:val="20"/>
          <w:szCs w:val="20"/>
        </w:rPr>
        <w:t>A Comissão de Regimento e de Jurisprudência será composta por dois membros efetivos indicados pelo Conselheiro-Presidente da Comissão, nomeados pelo Presidente do Tribunal na primeira sessão ordinária de seu mandato, com, pelo menos, um Auditor. (Art. 14-A)</w:t>
      </w:r>
    </w:p>
    <w:p w14:paraId="569F171D" w14:textId="77777777" w:rsidR="00BE05CD" w:rsidRDefault="00FE5704" w:rsidP="00BE05CD">
      <w:pPr>
        <w:spacing w:after="0"/>
        <w:ind w:left="2124"/>
        <w:jc w:val="both"/>
        <w:rPr>
          <w:rFonts w:ascii="Arial" w:hAnsi="Arial" w:cs="Arial"/>
          <w:sz w:val="20"/>
          <w:szCs w:val="20"/>
        </w:rPr>
      </w:pPr>
      <w:r w:rsidRPr="00FE5704">
        <w:rPr>
          <w:rFonts w:ascii="Arial" w:hAnsi="Arial" w:cs="Arial"/>
          <w:sz w:val="20"/>
          <w:szCs w:val="20"/>
        </w:rPr>
        <w:t xml:space="preserve">São atribuições da Comissão de Regimento e de Jurisprudência: (Art. 14-A, parágrafo único) </w:t>
      </w:r>
    </w:p>
    <w:p w14:paraId="75A55E36" w14:textId="3797D3A4" w:rsidR="00C9246B" w:rsidRDefault="00FE5704" w:rsidP="00BE05CD">
      <w:pPr>
        <w:spacing w:after="0"/>
        <w:ind w:left="2124"/>
        <w:jc w:val="both"/>
        <w:rPr>
          <w:rFonts w:ascii="Arial" w:hAnsi="Arial" w:cs="Arial"/>
          <w:sz w:val="20"/>
          <w:szCs w:val="20"/>
        </w:rPr>
      </w:pPr>
      <w:r w:rsidRPr="00FE5704">
        <w:rPr>
          <w:rFonts w:ascii="Arial" w:hAnsi="Arial" w:cs="Arial"/>
          <w:sz w:val="20"/>
          <w:szCs w:val="20"/>
        </w:rPr>
        <w:t xml:space="preserve">I – </w:t>
      </w:r>
      <w:proofErr w:type="gramStart"/>
      <w:r w:rsidRPr="00FE5704">
        <w:rPr>
          <w:rFonts w:ascii="Arial" w:hAnsi="Arial" w:cs="Arial"/>
          <w:sz w:val="20"/>
          <w:szCs w:val="20"/>
        </w:rPr>
        <w:t>cuidar</w:t>
      </w:r>
      <w:proofErr w:type="gramEnd"/>
      <w:r w:rsidRPr="00FE5704">
        <w:rPr>
          <w:rFonts w:ascii="Arial" w:hAnsi="Arial" w:cs="Arial"/>
          <w:sz w:val="20"/>
          <w:szCs w:val="20"/>
        </w:rPr>
        <w:t xml:space="preserve"> da atualização do Regimento Interno, mediante a apresentação de projetos de alteração do texto em vigor e a emissão de parecer sobre projeto apresentado por Conselheiro, por Auditor ou pelo Procurador-Geral do Ministério Público junto ao Tribunal de Contas do Distrito Federal; </w:t>
      </w:r>
    </w:p>
    <w:p w14:paraId="73419FAE" w14:textId="77777777" w:rsidR="00BE05CD" w:rsidRDefault="00FE5704" w:rsidP="00BE05CD">
      <w:pPr>
        <w:spacing w:after="0"/>
        <w:ind w:left="2124"/>
        <w:jc w:val="both"/>
        <w:rPr>
          <w:rFonts w:ascii="Arial" w:hAnsi="Arial" w:cs="Arial"/>
          <w:sz w:val="20"/>
          <w:szCs w:val="20"/>
        </w:rPr>
      </w:pPr>
      <w:r w:rsidRPr="00FE5704">
        <w:rPr>
          <w:rFonts w:ascii="Arial" w:hAnsi="Arial" w:cs="Arial"/>
          <w:sz w:val="20"/>
          <w:szCs w:val="20"/>
        </w:rPr>
        <w:t xml:space="preserve">II – </w:t>
      </w:r>
      <w:proofErr w:type="gramStart"/>
      <w:r w:rsidRPr="00FE5704">
        <w:rPr>
          <w:rFonts w:ascii="Arial" w:hAnsi="Arial" w:cs="Arial"/>
          <w:sz w:val="20"/>
          <w:szCs w:val="20"/>
        </w:rPr>
        <w:t>manter</w:t>
      </w:r>
      <w:proofErr w:type="gramEnd"/>
      <w:r w:rsidRPr="00FE5704">
        <w:rPr>
          <w:rFonts w:ascii="Arial" w:hAnsi="Arial" w:cs="Arial"/>
          <w:sz w:val="20"/>
          <w:szCs w:val="20"/>
        </w:rPr>
        <w:t xml:space="preserve"> a atualização e a publicação da Súmula da Jurisprudência do Tribunal; </w:t>
      </w:r>
    </w:p>
    <w:p w14:paraId="5FEFBE3E" w14:textId="47F092EE" w:rsidR="00FE5704" w:rsidRDefault="00FE5704" w:rsidP="006A4CE2">
      <w:pPr>
        <w:ind w:left="2124"/>
        <w:jc w:val="both"/>
        <w:rPr>
          <w:rFonts w:ascii="Arial" w:hAnsi="Arial" w:cs="Arial"/>
          <w:sz w:val="20"/>
          <w:szCs w:val="20"/>
        </w:rPr>
      </w:pPr>
      <w:r w:rsidRPr="00FE5704">
        <w:rPr>
          <w:rFonts w:ascii="Arial" w:hAnsi="Arial" w:cs="Arial"/>
          <w:sz w:val="20"/>
          <w:szCs w:val="20"/>
        </w:rPr>
        <w:t>III – superintender os serviços de sistematização e de divulgação da jurisprudência predominante do Tribunal, sugerindo medidas que facilitem a pesquisa de julgados ou de processos;</w:t>
      </w:r>
    </w:p>
    <w:p w14:paraId="69668E48" w14:textId="77777777" w:rsidR="002900C5" w:rsidRDefault="00714C7A" w:rsidP="006A4CE2">
      <w:pPr>
        <w:ind w:left="2124"/>
        <w:jc w:val="both"/>
        <w:rPr>
          <w:rFonts w:ascii="Arial" w:hAnsi="Arial" w:cs="Arial"/>
          <w:sz w:val="20"/>
          <w:szCs w:val="20"/>
        </w:rPr>
      </w:pPr>
      <w:r w:rsidRPr="00714C7A">
        <w:rPr>
          <w:rFonts w:ascii="Arial" w:hAnsi="Arial" w:cs="Arial"/>
          <w:sz w:val="20"/>
          <w:szCs w:val="20"/>
        </w:rPr>
        <w:t xml:space="preserve">IV – </w:t>
      </w:r>
      <w:proofErr w:type="gramStart"/>
      <w:r w:rsidRPr="00714C7A">
        <w:rPr>
          <w:rFonts w:ascii="Arial" w:hAnsi="Arial" w:cs="Arial"/>
          <w:sz w:val="20"/>
          <w:szCs w:val="20"/>
        </w:rPr>
        <w:t>propor</w:t>
      </w:r>
      <w:proofErr w:type="gramEnd"/>
      <w:r w:rsidRPr="00714C7A">
        <w:rPr>
          <w:rFonts w:ascii="Arial" w:hAnsi="Arial" w:cs="Arial"/>
          <w:sz w:val="20"/>
          <w:szCs w:val="20"/>
        </w:rPr>
        <w:t xml:space="preserve"> ao colegiado que seja compendiada, em súmula, a jurisprudência do Tribunal, quando verificar que o Plenário não diverge em suas decisões sobre determinada matéria; </w:t>
      </w:r>
    </w:p>
    <w:p w14:paraId="63150349" w14:textId="77777777" w:rsidR="00C848D5" w:rsidRPr="00672685" w:rsidRDefault="00C848D5" w:rsidP="00C848D5">
      <w:pPr>
        <w:ind w:firstLine="708"/>
        <w:jc w:val="both"/>
        <w:rPr>
          <w:rFonts w:ascii="Arial" w:hAnsi="Arial" w:cs="Arial"/>
          <w:sz w:val="22"/>
          <w:szCs w:val="22"/>
        </w:rPr>
      </w:pPr>
      <w:r w:rsidRPr="00672685">
        <w:rPr>
          <w:rFonts w:ascii="Arial" w:hAnsi="Arial" w:cs="Arial"/>
          <w:sz w:val="22"/>
          <w:szCs w:val="22"/>
        </w:rPr>
        <w:t xml:space="preserve">Além disso, cabe à Comissão propor ao colegiado a edição de enunciados de súmula quando verificar que o Plenário possui entendimento uniforme e reiterado sobre determinada matéria. Embora a aprovação das súmulas seja competência do Plenário, conforme previsto no </w:t>
      </w:r>
      <w:r>
        <w:rPr>
          <w:rFonts w:ascii="Arial" w:hAnsi="Arial" w:cs="Arial"/>
          <w:sz w:val="22"/>
          <w:szCs w:val="22"/>
        </w:rPr>
        <w:t>art.</w:t>
      </w:r>
      <w:r w:rsidRPr="00672685">
        <w:rPr>
          <w:rFonts w:ascii="Arial" w:hAnsi="Arial" w:cs="Arial"/>
          <w:sz w:val="22"/>
          <w:szCs w:val="22"/>
        </w:rPr>
        <w:t xml:space="preserve"> 13 do Regimento Interno, a iniciativa da proposta cabe à Comissão de Regimento e de Jurisprudência.</w:t>
      </w:r>
    </w:p>
    <w:p w14:paraId="08C74269" w14:textId="77AA7AD6" w:rsidR="002900C5" w:rsidRDefault="00714C7A" w:rsidP="00E80661">
      <w:pPr>
        <w:spacing w:after="0"/>
        <w:ind w:left="2124"/>
        <w:jc w:val="both"/>
        <w:rPr>
          <w:rFonts w:ascii="Arial" w:hAnsi="Arial" w:cs="Arial"/>
          <w:sz w:val="20"/>
          <w:szCs w:val="20"/>
        </w:rPr>
      </w:pPr>
      <w:r w:rsidRPr="00714C7A">
        <w:rPr>
          <w:rFonts w:ascii="Arial" w:hAnsi="Arial" w:cs="Arial"/>
          <w:sz w:val="20"/>
          <w:szCs w:val="20"/>
        </w:rPr>
        <w:t xml:space="preserve">V – </w:t>
      </w:r>
      <w:proofErr w:type="gramStart"/>
      <w:r w:rsidRPr="00714C7A">
        <w:rPr>
          <w:rFonts w:ascii="Arial" w:hAnsi="Arial" w:cs="Arial"/>
          <w:sz w:val="20"/>
          <w:szCs w:val="20"/>
        </w:rPr>
        <w:t>elaborar e aprovar</w:t>
      </w:r>
      <w:proofErr w:type="gramEnd"/>
      <w:r w:rsidRPr="00714C7A">
        <w:rPr>
          <w:rFonts w:ascii="Arial" w:hAnsi="Arial" w:cs="Arial"/>
          <w:sz w:val="20"/>
          <w:szCs w:val="20"/>
        </w:rPr>
        <w:t xml:space="preserve"> os atos normativos necessários à organização e a execução dos serviços que lhe competem; </w:t>
      </w:r>
      <w:r w:rsidR="00C10CFD" w:rsidRPr="00C848D5">
        <w:rPr>
          <w:rFonts w:ascii="Arial" w:hAnsi="Arial" w:cs="Arial"/>
          <w:b/>
          <w:bCs/>
          <w:sz w:val="22"/>
          <w:szCs w:val="22"/>
          <w:highlight w:val="yellow"/>
        </w:rPr>
        <w:t>20MIN</w:t>
      </w:r>
    </w:p>
    <w:p w14:paraId="79248B2A" w14:textId="77777777" w:rsidR="002900C5" w:rsidRDefault="00714C7A" w:rsidP="00E80661">
      <w:pPr>
        <w:spacing w:after="0"/>
        <w:ind w:left="2124"/>
        <w:jc w:val="both"/>
        <w:rPr>
          <w:rFonts w:ascii="Arial" w:hAnsi="Arial" w:cs="Arial"/>
          <w:sz w:val="20"/>
          <w:szCs w:val="20"/>
        </w:rPr>
      </w:pPr>
      <w:r w:rsidRPr="00714C7A">
        <w:rPr>
          <w:rFonts w:ascii="Arial" w:hAnsi="Arial" w:cs="Arial"/>
          <w:sz w:val="20"/>
          <w:szCs w:val="20"/>
        </w:rPr>
        <w:t xml:space="preserve">VI – </w:t>
      </w:r>
      <w:proofErr w:type="gramStart"/>
      <w:r w:rsidRPr="00714C7A">
        <w:rPr>
          <w:rFonts w:ascii="Arial" w:hAnsi="Arial" w:cs="Arial"/>
          <w:sz w:val="20"/>
          <w:szCs w:val="20"/>
        </w:rPr>
        <w:t>organizar</w:t>
      </w:r>
      <w:proofErr w:type="gramEnd"/>
      <w:r w:rsidRPr="00714C7A">
        <w:rPr>
          <w:rFonts w:ascii="Arial" w:hAnsi="Arial" w:cs="Arial"/>
          <w:sz w:val="20"/>
          <w:szCs w:val="20"/>
        </w:rPr>
        <w:t xml:space="preserve"> a jurisprudência no âmbito do Tribunal, procedendo à revisão das ementas, quando necessária para fins de indexação; </w:t>
      </w:r>
    </w:p>
    <w:p w14:paraId="64F6DC84" w14:textId="6D76944F" w:rsidR="002900C5" w:rsidRDefault="00714C7A" w:rsidP="00E80661">
      <w:pPr>
        <w:spacing w:after="0"/>
        <w:ind w:left="2124"/>
        <w:jc w:val="both"/>
        <w:rPr>
          <w:rFonts w:ascii="Arial" w:hAnsi="Arial" w:cs="Arial"/>
          <w:sz w:val="20"/>
          <w:szCs w:val="20"/>
        </w:rPr>
      </w:pPr>
      <w:r w:rsidRPr="00714C7A">
        <w:rPr>
          <w:rFonts w:ascii="Arial" w:hAnsi="Arial" w:cs="Arial"/>
          <w:sz w:val="20"/>
          <w:szCs w:val="20"/>
        </w:rPr>
        <w:t xml:space="preserve">VII – manter o banco de dados relativo aos atos normativos e às decisões geradas pelo Tribunal; </w:t>
      </w:r>
    </w:p>
    <w:p w14:paraId="2DBC3F52" w14:textId="7C0D4613" w:rsidR="00714C7A" w:rsidRDefault="00714C7A" w:rsidP="00E80661">
      <w:pPr>
        <w:spacing w:after="0"/>
        <w:ind w:left="2124"/>
        <w:jc w:val="both"/>
        <w:rPr>
          <w:rFonts w:ascii="Arial" w:hAnsi="Arial" w:cs="Arial"/>
          <w:sz w:val="20"/>
          <w:szCs w:val="20"/>
        </w:rPr>
      </w:pPr>
      <w:r w:rsidRPr="00714C7A">
        <w:rPr>
          <w:rFonts w:ascii="Arial" w:hAnsi="Arial" w:cs="Arial"/>
          <w:sz w:val="20"/>
          <w:szCs w:val="20"/>
        </w:rPr>
        <w:t>VIII – examinar previamente as propostas de alteração do Regimento Interno, de resoluções e demais atos normativos do Tribunal, a fim de estudar a viabilidade jurídica e técnica da proposta, apontando as possíveis lacunas e conflitos normativos;</w:t>
      </w:r>
    </w:p>
    <w:p w14:paraId="7240C5AA" w14:textId="77777777" w:rsidR="006D373E" w:rsidRDefault="00C14AC7" w:rsidP="00E80661">
      <w:pPr>
        <w:spacing w:after="0"/>
        <w:ind w:left="2124"/>
        <w:jc w:val="both"/>
        <w:rPr>
          <w:rFonts w:ascii="Arial" w:hAnsi="Arial" w:cs="Arial"/>
          <w:sz w:val="20"/>
          <w:szCs w:val="20"/>
        </w:rPr>
      </w:pPr>
      <w:r w:rsidRPr="00C14AC7">
        <w:rPr>
          <w:rFonts w:ascii="Arial" w:hAnsi="Arial" w:cs="Arial"/>
          <w:sz w:val="20"/>
          <w:szCs w:val="20"/>
        </w:rPr>
        <w:lastRenderedPageBreak/>
        <w:t xml:space="preserve">IX – </w:t>
      </w:r>
      <w:proofErr w:type="gramStart"/>
      <w:r w:rsidRPr="00C14AC7">
        <w:rPr>
          <w:rFonts w:ascii="Arial" w:hAnsi="Arial" w:cs="Arial"/>
          <w:sz w:val="20"/>
          <w:szCs w:val="20"/>
        </w:rPr>
        <w:t>elaborar</w:t>
      </w:r>
      <w:proofErr w:type="gramEnd"/>
      <w:r w:rsidRPr="00C14AC7">
        <w:rPr>
          <w:rFonts w:ascii="Arial" w:hAnsi="Arial" w:cs="Arial"/>
          <w:sz w:val="20"/>
          <w:szCs w:val="20"/>
        </w:rPr>
        <w:t xml:space="preserve"> a redação final das alterações do Regimento Interno e das resoluções; </w:t>
      </w:r>
    </w:p>
    <w:p w14:paraId="19124820" w14:textId="6D65B795" w:rsidR="006D373E" w:rsidRDefault="00C14AC7" w:rsidP="002900C5">
      <w:pPr>
        <w:ind w:left="2124"/>
        <w:jc w:val="both"/>
        <w:rPr>
          <w:rFonts w:ascii="Arial" w:hAnsi="Arial" w:cs="Arial"/>
          <w:sz w:val="20"/>
          <w:szCs w:val="20"/>
        </w:rPr>
      </w:pPr>
      <w:r w:rsidRPr="00C14AC7">
        <w:rPr>
          <w:rFonts w:ascii="Arial" w:hAnsi="Arial" w:cs="Arial"/>
          <w:sz w:val="20"/>
          <w:szCs w:val="20"/>
        </w:rPr>
        <w:t xml:space="preserve">X – </w:t>
      </w:r>
      <w:proofErr w:type="gramStart"/>
      <w:r w:rsidRPr="00C14AC7">
        <w:rPr>
          <w:rFonts w:ascii="Arial" w:hAnsi="Arial" w:cs="Arial"/>
          <w:sz w:val="20"/>
          <w:szCs w:val="20"/>
        </w:rPr>
        <w:t>preparar</w:t>
      </w:r>
      <w:proofErr w:type="gramEnd"/>
      <w:r w:rsidRPr="00C14AC7">
        <w:rPr>
          <w:rFonts w:ascii="Arial" w:hAnsi="Arial" w:cs="Arial"/>
          <w:sz w:val="20"/>
          <w:szCs w:val="20"/>
        </w:rPr>
        <w:t xml:space="preserve"> a proposta de projeto de enunciado da súmula e encaminhá-la ao Presidente do Tribunal, fundamentando-a com os prejulgados e com as decisões predominantes do Tribunal; </w:t>
      </w:r>
    </w:p>
    <w:p w14:paraId="4AEF558E" w14:textId="77777777" w:rsidR="007607E6" w:rsidRPr="00672685" w:rsidRDefault="007607E6" w:rsidP="007607E6">
      <w:pPr>
        <w:ind w:firstLine="708"/>
        <w:jc w:val="both"/>
        <w:rPr>
          <w:rFonts w:ascii="Arial" w:hAnsi="Arial" w:cs="Arial"/>
          <w:sz w:val="22"/>
          <w:szCs w:val="22"/>
        </w:rPr>
      </w:pPr>
      <w:r w:rsidRPr="00672685">
        <w:rPr>
          <w:rFonts w:ascii="Arial" w:hAnsi="Arial" w:cs="Arial"/>
          <w:sz w:val="22"/>
          <w:szCs w:val="22"/>
        </w:rPr>
        <w:t>O encaminhamento da proposta ao Presidente justifica-se porque compete a ele convocar a sessão do Plenário na qual será deliberada a aprovação do respectivo enunciado de súmula.</w:t>
      </w:r>
    </w:p>
    <w:p w14:paraId="59A931FB" w14:textId="757CF5EC" w:rsidR="007607E6" w:rsidRPr="00222E99" w:rsidRDefault="007607E6" w:rsidP="00222E99">
      <w:pPr>
        <w:ind w:firstLine="708"/>
        <w:jc w:val="both"/>
        <w:rPr>
          <w:rFonts w:ascii="Arial" w:hAnsi="Arial" w:cs="Arial"/>
          <w:sz w:val="22"/>
          <w:szCs w:val="22"/>
        </w:rPr>
      </w:pPr>
      <w:r w:rsidRPr="00672685">
        <w:rPr>
          <w:rFonts w:ascii="Arial" w:hAnsi="Arial" w:cs="Arial"/>
          <w:sz w:val="22"/>
          <w:szCs w:val="22"/>
        </w:rPr>
        <w:t>Assim, é importante distinguir as competências da Comissão e do Plenário: a Comissão de Regimento e de Jurisprudência prepara a proposta de enunciado de súmula, enquanto a aprovação da súmula é atribuição exclusiva do Plenário. Portanto, é incorreto afirmar que a Comissão aprova enunciados de súmula; sua competência limita-se à elaboração da proposta e ao seu encaminhamento ao Presidente do Tribunal para posterior deliberação pelo Plenário.</w:t>
      </w:r>
    </w:p>
    <w:p w14:paraId="2C8E64CD" w14:textId="77777777" w:rsidR="007607E6" w:rsidRDefault="00C14AC7" w:rsidP="002900C5">
      <w:pPr>
        <w:ind w:left="2124"/>
        <w:jc w:val="both"/>
        <w:rPr>
          <w:rFonts w:ascii="Arial" w:hAnsi="Arial" w:cs="Arial"/>
          <w:sz w:val="20"/>
          <w:szCs w:val="20"/>
        </w:rPr>
      </w:pPr>
      <w:r w:rsidRPr="00C14AC7">
        <w:rPr>
          <w:rFonts w:ascii="Arial" w:hAnsi="Arial" w:cs="Arial"/>
          <w:sz w:val="20"/>
          <w:szCs w:val="20"/>
        </w:rPr>
        <w:t xml:space="preserve">XI – identificar decisões conflitantes ou em desajuste no âmbito de cada órgão colegiado ou entre eles; </w:t>
      </w:r>
    </w:p>
    <w:p w14:paraId="5354599E" w14:textId="77777777" w:rsidR="00697F62" w:rsidRPr="00FA30A2" w:rsidRDefault="00697F62" w:rsidP="00697F62">
      <w:pPr>
        <w:ind w:firstLine="708"/>
        <w:jc w:val="both"/>
        <w:rPr>
          <w:rFonts w:ascii="Arial" w:hAnsi="Arial" w:cs="Arial"/>
          <w:sz w:val="22"/>
          <w:szCs w:val="22"/>
        </w:rPr>
      </w:pPr>
      <w:r w:rsidRPr="00FA30A2">
        <w:rPr>
          <w:rFonts w:ascii="Arial" w:hAnsi="Arial" w:cs="Arial"/>
          <w:sz w:val="22"/>
          <w:szCs w:val="22"/>
        </w:rPr>
        <w:t>Embora divergências de entendimento sejam naturais durante o processo deliberativo, a manutenção de entendimentos conflitantes entre diferentes órgãos colegiados do mesmo Tribunal compromete a segurança jurídica. Caso câmaras ou conselheiros passem a decidir de forma distinta sobre uma mesma matéria, cria-se instabilidade quanto à aplicação da jurisprudência. Nesse contexto, a Comissão atua para identificar essas divergências e promover a uniformização da jurisprudência, buscando consolidar entendimento único no âmbito do Tribunal.</w:t>
      </w:r>
    </w:p>
    <w:p w14:paraId="62D9A9CF" w14:textId="77777777" w:rsidR="00697F62" w:rsidRDefault="00697F62" w:rsidP="00697F62">
      <w:pPr>
        <w:jc w:val="both"/>
        <w:rPr>
          <w:rFonts w:ascii="Arial" w:hAnsi="Arial" w:cs="Arial"/>
          <w:sz w:val="20"/>
          <w:szCs w:val="20"/>
        </w:rPr>
      </w:pPr>
    </w:p>
    <w:p w14:paraId="28BAE26D" w14:textId="77777777" w:rsidR="007607E6" w:rsidRDefault="00C14AC7" w:rsidP="00E80661">
      <w:pPr>
        <w:spacing w:after="0"/>
        <w:ind w:left="2124"/>
        <w:jc w:val="both"/>
        <w:rPr>
          <w:rFonts w:ascii="Arial" w:hAnsi="Arial" w:cs="Arial"/>
          <w:sz w:val="20"/>
          <w:szCs w:val="20"/>
        </w:rPr>
      </w:pPr>
      <w:r w:rsidRPr="00C14AC7">
        <w:rPr>
          <w:rFonts w:ascii="Arial" w:hAnsi="Arial" w:cs="Arial"/>
          <w:sz w:val="20"/>
          <w:szCs w:val="20"/>
        </w:rPr>
        <w:t xml:space="preserve">XII – levantar e sistematizar legislações e decisões de Tribunais Judiciários ou de Contas que interessem ao Tribunal de Contas do Distrito Federal; </w:t>
      </w:r>
    </w:p>
    <w:p w14:paraId="39202E32" w14:textId="6DBDE303" w:rsidR="00C14AC7" w:rsidRPr="002900C5" w:rsidRDefault="00C14AC7" w:rsidP="002900C5">
      <w:pPr>
        <w:ind w:left="2124"/>
        <w:jc w:val="both"/>
        <w:rPr>
          <w:rFonts w:ascii="Arial" w:hAnsi="Arial" w:cs="Arial"/>
          <w:sz w:val="20"/>
          <w:szCs w:val="20"/>
        </w:rPr>
      </w:pPr>
      <w:r w:rsidRPr="00C14AC7">
        <w:rPr>
          <w:rFonts w:ascii="Arial" w:hAnsi="Arial" w:cs="Arial"/>
          <w:sz w:val="20"/>
          <w:szCs w:val="20"/>
        </w:rPr>
        <w:t>XIII – prestar informações dentro de sua área de atribuição, quando solicitado.</w:t>
      </w:r>
    </w:p>
    <w:p w14:paraId="02E3ADE9" w14:textId="77777777" w:rsidR="00E513A7" w:rsidRPr="00E513A7" w:rsidRDefault="00222E99" w:rsidP="00FA30A2">
      <w:pPr>
        <w:jc w:val="both"/>
        <w:rPr>
          <w:rFonts w:ascii="Arial" w:hAnsi="Arial" w:cs="Arial"/>
          <w:b/>
          <w:bCs/>
          <w:sz w:val="22"/>
          <w:szCs w:val="22"/>
        </w:rPr>
      </w:pPr>
      <w:r w:rsidRPr="00E513A7">
        <w:rPr>
          <w:rFonts w:ascii="Arial" w:hAnsi="Arial" w:cs="Arial"/>
          <w:b/>
          <w:bCs/>
          <w:sz w:val="22"/>
          <w:szCs w:val="22"/>
        </w:rPr>
        <w:t xml:space="preserve">CAPÍTULO III </w:t>
      </w:r>
    </w:p>
    <w:p w14:paraId="638D6B1D" w14:textId="35D336A2" w:rsidR="00222E99" w:rsidRPr="00E513A7" w:rsidRDefault="00222E99" w:rsidP="00FA30A2">
      <w:pPr>
        <w:jc w:val="both"/>
        <w:rPr>
          <w:rFonts w:ascii="Arial" w:hAnsi="Arial" w:cs="Arial"/>
          <w:b/>
          <w:bCs/>
          <w:sz w:val="22"/>
          <w:szCs w:val="22"/>
        </w:rPr>
      </w:pPr>
      <w:r w:rsidRPr="00E513A7">
        <w:rPr>
          <w:rFonts w:ascii="Arial" w:hAnsi="Arial" w:cs="Arial"/>
          <w:b/>
          <w:bCs/>
          <w:sz w:val="22"/>
          <w:szCs w:val="22"/>
        </w:rPr>
        <w:t>DA ELEIÇÃO DO PRESIDENTE, DO VICEPRESIDENTE, DO CORREGEDOR, DO CONSELHEIRO-OUVIDOR, DO REGENTE DA ESCOLA DE CONTAS PÚBLICAS, DO CONSELHEIRO DE RELAÇÕES INSTITUCIONAIS E DO CONSELHEIRO-PRESIDENTE DA COMISSÃO DE REGIMENTO E DE JURISPRUDÊNCIA</w:t>
      </w:r>
    </w:p>
    <w:p w14:paraId="0013E2C1" w14:textId="662C3F4D" w:rsidR="00865B6A" w:rsidRPr="006C6933" w:rsidRDefault="00E513A7" w:rsidP="00E80661">
      <w:pPr>
        <w:spacing w:after="0"/>
        <w:ind w:left="2124"/>
        <w:jc w:val="both"/>
        <w:rPr>
          <w:rFonts w:ascii="Arial" w:hAnsi="Arial" w:cs="Arial"/>
          <w:sz w:val="20"/>
          <w:szCs w:val="20"/>
        </w:rPr>
      </w:pPr>
      <w:r w:rsidRPr="006C6933">
        <w:rPr>
          <w:rFonts w:ascii="Arial" w:hAnsi="Arial" w:cs="Arial"/>
          <w:sz w:val="20"/>
          <w:szCs w:val="20"/>
        </w:rPr>
        <w:t xml:space="preserve">Conforme art. 15 do RITCDF, o Presidente, o </w:t>
      </w:r>
      <w:r w:rsidR="00865B6A" w:rsidRPr="006C6933">
        <w:rPr>
          <w:rFonts w:ascii="Arial" w:hAnsi="Arial" w:cs="Arial"/>
          <w:sz w:val="20"/>
          <w:szCs w:val="20"/>
        </w:rPr>
        <w:t>Vice-presidente</w:t>
      </w:r>
      <w:r w:rsidRPr="006C6933">
        <w:rPr>
          <w:rFonts w:ascii="Arial" w:hAnsi="Arial" w:cs="Arial"/>
          <w:sz w:val="20"/>
          <w:szCs w:val="20"/>
        </w:rPr>
        <w:t xml:space="preserve">, o Corregedor, o Conselheiro-Ouvidor, o Regente da Escola de Contas Públicas, o Conselheiro de Relações Institucionais e o Conselheiro-Presidente da Comissão de Regimento e de Jurisprudência serão eleitos pelos Conselheiros efetivos para mandato de dois anos, com início em 1º de janeiro dos anos ímpares. </w:t>
      </w:r>
      <w:r w:rsidR="008C6B76" w:rsidRPr="00347C9D">
        <w:rPr>
          <w:rFonts w:ascii="Arial" w:hAnsi="Arial" w:cs="Arial"/>
          <w:b/>
          <w:bCs/>
          <w:sz w:val="22"/>
          <w:szCs w:val="22"/>
          <w:highlight w:val="yellow"/>
        </w:rPr>
        <w:t>25MIN</w:t>
      </w:r>
    </w:p>
    <w:p w14:paraId="7185D1EC" w14:textId="0362CB0A" w:rsidR="00E513A7" w:rsidRPr="006C6933" w:rsidRDefault="00E513A7" w:rsidP="006C6933">
      <w:pPr>
        <w:ind w:left="2124"/>
        <w:jc w:val="both"/>
        <w:rPr>
          <w:rFonts w:ascii="Arial" w:hAnsi="Arial" w:cs="Arial"/>
          <w:sz w:val="20"/>
          <w:szCs w:val="20"/>
        </w:rPr>
      </w:pPr>
      <w:r w:rsidRPr="006C6933">
        <w:rPr>
          <w:rFonts w:ascii="Arial" w:hAnsi="Arial" w:cs="Arial"/>
          <w:sz w:val="20"/>
          <w:szCs w:val="20"/>
        </w:rPr>
        <w:t>A eleição será realizada em escrutínio secreto, na última sessão ordinária do mês de dezembro dos anos pares ou, em caso de vacância, na primeira sessão ordinária após a ocorrência da vaga, exigida a presença de, pelo menos, cinco Conselheiros titulares, inclusive o que presidir o ato. (Art. 15, § 1º)</w:t>
      </w:r>
    </w:p>
    <w:p w14:paraId="44AF0F53" w14:textId="77777777" w:rsidR="006C6933" w:rsidRPr="006C6933" w:rsidRDefault="006C6933" w:rsidP="006C6933">
      <w:pPr>
        <w:ind w:firstLine="708"/>
        <w:jc w:val="both"/>
        <w:rPr>
          <w:rFonts w:ascii="Arial" w:hAnsi="Arial" w:cs="Arial"/>
          <w:sz w:val="22"/>
          <w:szCs w:val="22"/>
        </w:rPr>
      </w:pPr>
      <w:r w:rsidRPr="006C6933">
        <w:rPr>
          <w:rFonts w:ascii="Arial" w:hAnsi="Arial" w:cs="Arial"/>
          <w:sz w:val="22"/>
          <w:szCs w:val="22"/>
        </w:rPr>
        <w:lastRenderedPageBreak/>
        <w:t>O direito de voto é exclusivo dos conselheiros efetivos. Assim, o auditor que esteja substituindo um conselheiro, ainda que esteja exercendo temporariamente suas funções, não possui direito de voto na eleição dos cargos diretivos. Trata-se de ponto que pode ser cobrado em prova.</w:t>
      </w:r>
    </w:p>
    <w:p w14:paraId="0AEBBB6C" w14:textId="77777777" w:rsidR="006C6933" w:rsidRPr="00FA30A2" w:rsidRDefault="006C6933" w:rsidP="006C6933">
      <w:pPr>
        <w:ind w:firstLine="708"/>
        <w:jc w:val="both"/>
        <w:rPr>
          <w:rFonts w:ascii="Arial" w:hAnsi="Arial" w:cs="Arial"/>
          <w:sz w:val="22"/>
          <w:szCs w:val="22"/>
        </w:rPr>
      </w:pPr>
      <w:r w:rsidRPr="00FA30A2">
        <w:rPr>
          <w:rFonts w:ascii="Arial" w:hAnsi="Arial" w:cs="Arial"/>
          <w:sz w:val="22"/>
          <w:szCs w:val="22"/>
        </w:rPr>
        <w:t>Dessa forma, apenas os conselheiros efetivos participam da escolha dos ocupantes dos cargos diretivos, cujos mandatos se sucedem em períodos bienais iniciados nos anos ímpares.</w:t>
      </w:r>
    </w:p>
    <w:p w14:paraId="780F97B2" w14:textId="77777777" w:rsidR="008C6B76" w:rsidRDefault="006C6933" w:rsidP="00E80661">
      <w:pPr>
        <w:spacing w:after="0"/>
        <w:ind w:left="2124"/>
        <w:jc w:val="both"/>
        <w:rPr>
          <w:rFonts w:ascii="Arial" w:hAnsi="Arial" w:cs="Arial"/>
          <w:sz w:val="20"/>
          <w:szCs w:val="20"/>
        </w:rPr>
      </w:pPr>
      <w:r w:rsidRPr="00714342">
        <w:rPr>
          <w:rFonts w:ascii="Arial" w:hAnsi="Arial" w:cs="Arial"/>
          <w:sz w:val="20"/>
          <w:szCs w:val="20"/>
        </w:rPr>
        <w:t xml:space="preserve">Somente os Conselheiros efetivos, ainda que em gozo de licença, férias ou outro afastamento legal, poderão participar das eleições. (Art. 15, § 3º) </w:t>
      </w:r>
    </w:p>
    <w:p w14:paraId="7EC463A6" w14:textId="4F2FCE71" w:rsidR="008C6B76" w:rsidRDefault="006C6933" w:rsidP="00714342">
      <w:pPr>
        <w:ind w:left="2124"/>
        <w:jc w:val="both"/>
        <w:rPr>
          <w:rFonts w:ascii="Arial" w:hAnsi="Arial" w:cs="Arial"/>
          <w:sz w:val="20"/>
          <w:szCs w:val="20"/>
        </w:rPr>
      </w:pPr>
      <w:r w:rsidRPr="00714342">
        <w:rPr>
          <w:rFonts w:ascii="Arial" w:hAnsi="Arial" w:cs="Arial"/>
          <w:sz w:val="20"/>
          <w:szCs w:val="20"/>
        </w:rPr>
        <w:t xml:space="preserve">A eleição do Presidente precederá à do Vice-Presidente, a deste, à do Corregedor, seguindo-se a eleição do Conselheiro-Ouvidor, do Regente da Escola de Contas Públicas, do Conselheiro de Relações Institucionais e do Conselheiro-Presidente da Comissão de Regimento e de Jurisprudência. (Art. 15, § 4º) </w:t>
      </w:r>
    </w:p>
    <w:p w14:paraId="378A32E8" w14:textId="77777777" w:rsidR="00E6283F" w:rsidRPr="00957F4F" w:rsidRDefault="00E6283F" w:rsidP="00E6283F">
      <w:pPr>
        <w:ind w:firstLine="708"/>
        <w:jc w:val="both"/>
        <w:rPr>
          <w:rFonts w:ascii="Arial" w:hAnsi="Arial" w:cs="Arial"/>
          <w:sz w:val="22"/>
          <w:szCs w:val="22"/>
        </w:rPr>
      </w:pPr>
      <w:r w:rsidRPr="00957F4F">
        <w:rPr>
          <w:rFonts w:ascii="Arial" w:hAnsi="Arial" w:cs="Arial"/>
          <w:sz w:val="22"/>
          <w:szCs w:val="22"/>
        </w:rPr>
        <w:t>A ordem das eleições observa a hierarquia dos cargos diretivos, realizando-se um escrutínio para cada cargo, na seguinte sequência:</w:t>
      </w:r>
    </w:p>
    <w:p w14:paraId="4BCFBF34"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Presidente;</w:t>
      </w:r>
    </w:p>
    <w:p w14:paraId="7BE70E52"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Vice-Presidente;</w:t>
      </w:r>
    </w:p>
    <w:p w14:paraId="6A1D5739"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Corregedor;</w:t>
      </w:r>
    </w:p>
    <w:p w14:paraId="02A8143B"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Conselheiro-Ouvidor;</w:t>
      </w:r>
    </w:p>
    <w:p w14:paraId="051CCBD7"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Regente da Escola de Contas Públicas;</w:t>
      </w:r>
    </w:p>
    <w:p w14:paraId="3CC4B79F"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Conselheiro de Relações Institucionais;</w:t>
      </w:r>
    </w:p>
    <w:p w14:paraId="61C5284A" w14:textId="77777777" w:rsidR="00E6283F" w:rsidRPr="00957F4F" w:rsidRDefault="00E6283F" w:rsidP="00E6283F">
      <w:pPr>
        <w:numPr>
          <w:ilvl w:val="0"/>
          <w:numId w:val="6"/>
        </w:numPr>
        <w:jc w:val="both"/>
        <w:rPr>
          <w:rFonts w:ascii="Arial" w:hAnsi="Arial" w:cs="Arial"/>
          <w:sz w:val="22"/>
          <w:szCs w:val="22"/>
        </w:rPr>
      </w:pPr>
      <w:r w:rsidRPr="00957F4F">
        <w:rPr>
          <w:rFonts w:ascii="Arial" w:hAnsi="Arial" w:cs="Arial"/>
          <w:sz w:val="22"/>
          <w:szCs w:val="22"/>
        </w:rPr>
        <w:t>Conselheiro-Presidente da Comissão de Regimento e de Jurisprudência.</w:t>
      </w:r>
    </w:p>
    <w:p w14:paraId="63A7921F" w14:textId="77777777" w:rsidR="00E6283F" w:rsidRPr="00957F4F" w:rsidRDefault="00E6283F" w:rsidP="00E6283F">
      <w:pPr>
        <w:ind w:firstLine="708"/>
        <w:jc w:val="both"/>
        <w:rPr>
          <w:rFonts w:ascii="Arial" w:hAnsi="Arial" w:cs="Arial"/>
          <w:sz w:val="22"/>
          <w:szCs w:val="22"/>
        </w:rPr>
      </w:pPr>
      <w:r w:rsidRPr="00957F4F">
        <w:rPr>
          <w:rFonts w:ascii="Arial" w:hAnsi="Arial" w:cs="Arial"/>
          <w:sz w:val="22"/>
          <w:szCs w:val="22"/>
        </w:rPr>
        <w:t>O Conselheiro-Presidente da Comissão de Regimento e de Jurisprudência passou a integrar essa sequência em razão das alterações promovidas no Regimento Interno em 2024.</w:t>
      </w:r>
    </w:p>
    <w:p w14:paraId="13AF5E1D" w14:textId="4A7828DC" w:rsidR="006C6933" w:rsidRDefault="006C6933" w:rsidP="00E80661">
      <w:pPr>
        <w:spacing w:after="0"/>
        <w:ind w:left="2124"/>
        <w:jc w:val="both"/>
        <w:rPr>
          <w:rFonts w:ascii="Arial" w:hAnsi="Arial" w:cs="Arial"/>
          <w:sz w:val="20"/>
          <w:szCs w:val="20"/>
        </w:rPr>
      </w:pPr>
      <w:r w:rsidRPr="00714342">
        <w:rPr>
          <w:rFonts w:ascii="Arial" w:hAnsi="Arial" w:cs="Arial"/>
          <w:sz w:val="20"/>
          <w:szCs w:val="20"/>
        </w:rPr>
        <w:t>Conforme § 5º do art. 15, as eleições serão efetuadas pelo sistema de cédula única, observadas as seguintes regras:</w:t>
      </w:r>
    </w:p>
    <w:p w14:paraId="0A940BDD" w14:textId="2C5D6396" w:rsidR="00E6283F" w:rsidRDefault="002A4478" w:rsidP="00E80661">
      <w:pPr>
        <w:spacing w:after="0"/>
        <w:ind w:left="2124"/>
        <w:jc w:val="both"/>
        <w:rPr>
          <w:rFonts w:ascii="Arial" w:hAnsi="Arial" w:cs="Arial"/>
          <w:sz w:val="20"/>
          <w:szCs w:val="20"/>
        </w:rPr>
      </w:pPr>
      <w:r w:rsidRPr="002A4478">
        <w:rPr>
          <w:rFonts w:ascii="Arial" w:hAnsi="Arial" w:cs="Arial"/>
          <w:sz w:val="20"/>
          <w:szCs w:val="20"/>
        </w:rPr>
        <w:t xml:space="preserve">I </w:t>
      </w:r>
      <w:r w:rsidR="00E6283F">
        <w:rPr>
          <w:rFonts w:ascii="Arial" w:hAnsi="Arial" w:cs="Arial"/>
          <w:sz w:val="20"/>
          <w:szCs w:val="20"/>
        </w:rPr>
        <w:t>–</w:t>
      </w:r>
      <w:r w:rsidRPr="002A4478">
        <w:rPr>
          <w:rFonts w:ascii="Arial" w:hAnsi="Arial" w:cs="Arial"/>
          <w:sz w:val="20"/>
          <w:szCs w:val="20"/>
        </w:rPr>
        <w:t xml:space="preserve"> </w:t>
      </w:r>
      <w:proofErr w:type="gramStart"/>
      <w:r w:rsidRPr="002A4478">
        <w:rPr>
          <w:rFonts w:ascii="Arial" w:hAnsi="Arial" w:cs="Arial"/>
          <w:sz w:val="20"/>
          <w:szCs w:val="20"/>
        </w:rPr>
        <w:t>o</w:t>
      </w:r>
      <w:proofErr w:type="gramEnd"/>
      <w:r w:rsidRPr="002A4478">
        <w:rPr>
          <w:rFonts w:ascii="Arial" w:hAnsi="Arial" w:cs="Arial"/>
          <w:sz w:val="20"/>
          <w:szCs w:val="20"/>
        </w:rPr>
        <w:t xml:space="preserve"> Conselheiro que estiver presidindo a sessão chamará, pela ordem decrescente de antiguidade, os Conselheiros, que depositarão na urna seus votos, contidos em envelopes fechados;</w:t>
      </w:r>
    </w:p>
    <w:p w14:paraId="70BA3A3F" w14:textId="52A4A145" w:rsidR="00E6283F" w:rsidRDefault="002A4478" w:rsidP="00E80661">
      <w:pPr>
        <w:spacing w:after="0"/>
        <w:ind w:left="2124"/>
        <w:jc w:val="both"/>
        <w:rPr>
          <w:rFonts w:ascii="Arial" w:hAnsi="Arial" w:cs="Arial"/>
          <w:sz w:val="20"/>
          <w:szCs w:val="20"/>
        </w:rPr>
      </w:pPr>
      <w:r w:rsidRPr="002A4478">
        <w:rPr>
          <w:rFonts w:ascii="Arial" w:hAnsi="Arial" w:cs="Arial"/>
          <w:sz w:val="20"/>
          <w:szCs w:val="20"/>
        </w:rPr>
        <w:t xml:space="preserve">II </w:t>
      </w:r>
      <w:r w:rsidR="00E6283F">
        <w:rPr>
          <w:rFonts w:ascii="Arial" w:hAnsi="Arial" w:cs="Arial"/>
          <w:sz w:val="20"/>
          <w:szCs w:val="20"/>
        </w:rPr>
        <w:t>–</w:t>
      </w:r>
      <w:r w:rsidRPr="002A4478">
        <w:rPr>
          <w:rFonts w:ascii="Arial" w:hAnsi="Arial" w:cs="Arial"/>
          <w:sz w:val="20"/>
          <w:szCs w:val="20"/>
        </w:rPr>
        <w:t xml:space="preserve"> </w:t>
      </w:r>
      <w:proofErr w:type="gramStart"/>
      <w:r w:rsidRPr="002A4478">
        <w:rPr>
          <w:rFonts w:ascii="Arial" w:hAnsi="Arial" w:cs="Arial"/>
          <w:sz w:val="20"/>
          <w:szCs w:val="20"/>
        </w:rPr>
        <w:t>o</w:t>
      </w:r>
      <w:proofErr w:type="gramEnd"/>
      <w:r w:rsidRPr="002A4478">
        <w:rPr>
          <w:rFonts w:ascii="Arial" w:hAnsi="Arial" w:cs="Arial"/>
          <w:sz w:val="20"/>
          <w:szCs w:val="20"/>
        </w:rPr>
        <w:t xml:space="preserve"> Conselheiro ausente poderá enviar à Presidência seu voto, em sobrecarta fechada, que especifique sua destinação; </w:t>
      </w:r>
    </w:p>
    <w:p w14:paraId="55AC1D45" w14:textId="244CD9C1" w:rsidR="00E6283F" w:rsidRDefault="002A4478" w:rsidP="00E80661">
      <w:pPr>
        <w:spacing w:after="0"/>
        <w:ind w:left="2124"/>
        <w:jc w:val="both"/>
        <w:rPr>
          <w:rFonts w:ascii="Arial" w:hAnsi="Arial" w:cs="Arial"/>
          <w:sz w:val="20"/>
          <w:szCs w:val="20"/>
        </w:rPr>
      </w:pPr>
      <w:r w:rsidRPr="002A4478">
        <w:rPr>
          <w:rFonts w:ascii="Arial" w:hAnsi="Arial" w:cs="Arial"/>
          <w:sz w:val="20"/>
          <w:szCs w:val="20"/>
        </w:rPr>
        <w:t xml:space="preserve">III </w:t>
      </w:r>
      <w:r w:rsidR="00E6283F">
        <w:rPr>
          <w:rFonts w:ascii="Arial" w:hAnsi="Arial" w:cs="Arial"/>
          <w:sz w:val="20"/>
          <w:szCs w:val="20"/>
        </w:rPr>
        <w:t>–</w:t>
      </w:r>
      <w:r w:rsidRPr="002A4478">
        <w:rPr>
          <w:rFonts w:ascii="Arial" w:hAnsi="Arial" w:cs="Arial"/>
          <w:sz w:val="20"/>
          <w:szCs w:val="20"/>
        </w:rPr>
        <w:t xml:space="preserve"> as sobrecartas, com os votos dos Conselheiros ausentes, serão depositadas na urna pelo Presidente, sem quebra de sigilo; </w:t>
      </w:r>
    </w:p>
    <w:p w14:paraId="4F2D3F90" w14:textId="77777777" w:rsidR="00E6283F" w:rsidRDefault="002A4478" w:rsidP="00E80661">
      <w:pPr>
        <w:spacing w:after="0"/>
        <w:ind w:left="2124"/>
        <w:jc w:val="both"/>
        <w:rPr>
          <w:rFonts w:ascii="Arial" w:hAnsi="Arial" w:cs="Arial"/>
          <w:sz w:val="20"/>
          <w:szCs w:val="20"/>
        </w:rPr>
      </w:pPr>
      <w:r w:rsidRPr="002A4478">
        <w:rPr>
          <w:rFonts w:ascii="Arial" w:hAnsi="Arial" w:cs="Arial"/>
          <w:sz w:val="20"/>
          <w:szCs w:val="20"/>
        </w:rPr>
        <w:t xml:space="preserve">IV </w:t>
      </w:r>
      <w:r w:rsidR="00E6283F">
        <w:rPr>
          <w:rFonts w:ascii="Arial" w:hAnsi="Arial" w:cs="Arial"/>
          <w:sz w:val="20"/>
          <w:szCs w:val="20"/>
        </w:rPr>
        <w:t>–</w:t>
      </w:r>
      <w:r w:rsidRPr="002A4478">
        <w:rPr>
          <w:rFonts w:ascii="Arial" w:hAnsi="Arial" w:cs="Arial"/>
          <w:sz w:val="20"/>
          <w:szCs w:val="20"/>
        </w:rPr>
        <w:t xml:space="preserve"> </w:t>
      </w:r>
      <w:proofErr w:type="gramStart"/>
      <w:r w:rsidRPr="002A4478">
        <w:rPr>
          <w:rFonts w:ascii="Arial" w:hAnsi="Arial" w:cs="Arial"/>
          <w:sz w:val="20"/>
          <w:szCs w:val="20"/>
        </w:rPr>
        <w:t>considerar-se-á</w:t>
      </w:r>
      <w:proofErr w:type="gramEnd"/>
      <w:r w:rsidRPr="002A4478">
        <w:rPr>
          <w:rFonts w:ascii="Arial" w:hAnsi="Arial" w:cs="Arial"/>
          <w:sz w:val="20"/>
          <w:szCs w:val="20"/>
        </w:rPr>
        <w:t xml:space="preserve"> eleito, em primeiro escrutínio, o Conselheiro que obtiver a maioria absoluta dos votos; </w:t>
      </w:r>
    </w:p>
    <w:p w14:paraId="7910EF54" w14:textId="1EA0AE55" w:rsidR="002A4478" w:rsidRPr="00714342" w:rsidRDefault="002A4478" w:rsidP="00714342">
      <w:pPr>
        <w:ind w:left="2124"/>
        <w:jc w:val="both"/>
        <w:rPr>
          <w:rFonts w:ascii="Arial" w:hAnsi="Arial" w:cs="Arial"/>
          <w:sz w:val="20"/>
          <w:szCs w:val="20"/>
        </w:rPr>
      </w:pPr>
      <w:r w:rsidRPr="002A4478">
        <w:rPr>
          <w:rFonts w:ascii="Arial" w:hAnsi="Arial" w:cs="Arial"/>
          <w:sz w:val="20"/>
          <w:szCs w:val="20"/>
        </w:rPr>
        <w:t xml:space="preserve">V </w:t>
      </w:r>
      <w:r w:rsidR="00E6283F">
        <w:rPr>
          <w:rFonts w:ascii="Arial" w:hAnsi="Arial" w:cs="Arial"/>
          <w:sz w:val="20"/>
          <w:szCs w:val="20"/>
        </w:rPr>
        <w:t>–</w:t>
      </w:r>
      <w:r w:rsidRPr="002A4478">
        <w:rPr>
          <w:rFonts w:ascii="Arial" w:hAnsi="Arial" w:cs="Arial"/>
          <w:sz w:val="20"/>
          <w:szCs w:val="20"/>
        </w:rPr>
        <w:t xml:space="preserve"> </w:t>
      </w:r>
      <w:proofErr w:type="gramStart"/>
      <w:r w:rsidRPr="002A4478">
        <w:rPr>
          <w:rFonts w:ascii="Arial" w:hAnsi="Arial" w:cs="Arial"/>
          <w:sz w:val="20"/>
          <w:szCs w:val="20"/>
        </w:rPr>
        <w:t>se</w:t>
      </w:r>
      <w:proofErr w:type="gramEnd"/>
      <w:r w:rsidRPr="002A4478">
        <w:rPr>
          <w:rFonts w:ascii="Arial" w:hAnsi="Arial" w:cs="Arial"/>
          <w:sz w:val="20"/>
          <w:szCs w:val="20"/>
        </w:rPr>
        <w:t xml:space="preserve"> nenhum Conselheiro alcançar o número mínimo de votos, haverá um segundo escrutínio, em que serão elegíveis os dois Conselheiros mais votados;</w:t>
      </w:r>
      <w:r w:rsidR="0012746E">
        <w:rPr>
          <w:rFonts w:ascii="Arial" w:hAnsi="Arial" w:cs="Arial"/>
          <w:sz w:val="20"/>
          <w:szCs w:val="20"/>
        </w:rPr>
        <w:t xml:space="preserve"> </w:t>
      </w:r>
      <w:r w:rsidR="0012746E" w:rsidRPr="00F350A3">
        <w:rPr>
          <w:rFonts w:ascii="Arial" w:hAnsi="Arial" w:cs="Arial"/>
          <w:b/>
          <w:bCs/>
          <w:sz w:val="22"/>
          <w:szCs w:val="22"/>
          <w:highlight w:val="yellow"/>
        </w:rPr>
        <w:t>30MIN</w:t>
      </w:r>
    </w:p>
    <w:p w14:paraId="0CCE1B02" w14:textId="77777777" w:rsidR="00754BF7" w:rsidRPr="00754BF7" w:rsidRDefault="00754BF7" w:rsidP="00754BF7">
      <w:pPr>
        <w:jc w:val="both"/>
        <w:rPr>
          <w:rFonts w:ascii="Arial" w:hAnsi="Arial" w:cs="Arial"/>
          <w:sz w:val="22"/>
          <w:szCs w:val="22"/>
        </w:rPr>
      </w:pPr>
      <w:r w:rsidRPr="00754BF7">
        <w:rPr>
          <w:rFonts w:ascii="Arial" w:hAnsi="Arial" w:cs="Arial"/>
          <w:sz w:val="22"/>
          <w:szCs w:val="22"/>
        </w:rPr>
        <w:t>_____________________________________________________________________</w:t>
      </w:r>
    </w:p>
    <w:p w14:paraId="59EED98B" w14:textId="1D0A21D8" w:rsidR="00754BF7" w:rsidRPr="00754BF7" w:rsidRDefault="00754BF7" w:rsidP="00754BF7">
      <w:pPr>
        <w:jc w:val="both"/>
        <w:rPr>
          <w:rFonts w:ascii="Arial" w:hAnsi="Arial" w:cs="Arial"/>
          <w:sz w:val="22"/>
          <w:szCs w:val="22"/>
        </w:rPr>
      </w:pPr>
      <w:r w:rsidRPr="00754BF7">
        <w:rPr>
          <w:rFonts w:ascii="Arial" w:hAnsi="Arial" w:cs="Arial"/>
          <w:sz w:val="22"/>
          <w:szCs w:val="22"/>
        </w:rPr>
        <w:lastRenderedPageBreak/>
        <w:t>Este material foi elaborado pela equipe pedagógica do Gran Concursos, de acordo com a aula preparada e ministrada pelo professor</w:t>
      </w:r>
      <w:r w:rsidR="000F3AA9">
        <w:rPr>
          <w:rFonts w:ascii="Arial" w:hAnsi="Arial" w:cs="Arial"/>
          <w:sz w:val="22"/>
          <w:szCs w:val="22"/>
        </w:rPr>
        <w:t xml:space="preserve"> </w:t>
      </w:r>
      <w:proofErr w:type="spellStart"/>
      <w:r w:rsidR="000F3AA9">
        <w:rPr>
          <w:rFonts w:ascii="Arial" w:hAnsi="Arial" w:cs="Arial"/>
          <w:sz w:val="22"/>
          <w:szCs w:val="22"/>
        </w:rPr>
        <w:t>Francion</w:t>
      </w:r>
      <w:proofErr w:type="spellEnd"/>
      <w:r w:rsidR="000F3AA9">
        <w:rPr>
          <w:rFonts w:ascii="Arial" w:hAnsi="Arial" w:cs="Arial"/>
          <w:sz w:val="22"/>
          <w:szCs w:val="22"/>
        </w:rPr>
        <w:t xml:space="preserve"> Santos.</w:t>
      </w:r>
    </w:p>
    <w:p w14:paraId="3B1C7DB7" w14:textId="77777777" w:rsidR="00754BF7" w:rsidRPr="00754BF7" w:rsidRDefault="00754BF7" w:rsidP="00754BF7">
      <w:pPr>
        <w:jc w:val="both"/>
        <w:rPr>
          <w:rFonts w:ascii="Arial" w:hAnsi="Arial" w:cs="Arial"/>
          <w:sz w:val="22"/>
          <w:szCs w:val="22"/>
        </w:rPr>
      </w:pPr>
      <w:r w:rsidRPr="00754BF7">
        <w:rPr>
          <w:rFonts w:ascii="Arial" w:hAnsi="Arial" w:cs="Arial"/>
          <w:sz w:val="22"/>
          <w:szCs w:val="22"/>
        </w:rPr>
        <w:t>A presente degravação tem como objetivo auxiliar no acompanhamento e na revisão do conteúdo ministrado na videoaula. Não recomendamos a substituição do estudo em vídeo pela leitura exclusiva deste material.</w:t>
      </w:r>
    </w:p>
    <w:p w14:paraId="4F0FB59D" w14:textId="77777777" w:rsidR="00754BF7" w:rsidRPr="00754BF7" w:rsidRDefault="00754BF7" w:rsidP="00754BF7">
      <w:pPr>
        <w:jc w:val="both"/>
        <w:rPr>
          <w:rFonts w:ascii="Arial" w:hAnsi="Arial" w:cs="Arial"/>
          <w:sz w:val="22"/>
          <w:szCs w:val="22"/>
        </w:rPr>
      </w:pPr>
      <w:r w:rsidRPr="00754BF7">
        <w:rPr>
          <w:rFonts w:ascii="Arial" w:hAnsi="Arial" w:cs="Arial"/>
          <w:sz w:val="22"/>
          <w:szCs w:val="22"/>
        </w:rPr>
        <w:t>_____________________________________________________________________</w:t>
      </w:r>
    </w:p>
    <w:p w14:paraId="4FF89A16" w14:textId="77777777" w:rsidR="00FA30A2" w:rsidRPr="00583655" w:rsidRDefault="00FA30A2" w:rsidP="00583655">
      <w:pPr>
        <w:jc w:val="both"/>
        <w:rPr>
          <w:rFonts w:ascii="Arial" w:hAnsi="Arial" w:cs="Arial"/>
          <w:sz w:val="22"/>
          <w:szCs w:val="22"/>
        </w:rPr>
      </w:pPr>
    </w:p>
    <w:sectPr w:rsidR="00FA30A2" w:rsidRPr="0058365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9A6F" w14:textId="77777777" w:rsidR="00281BD3" w:rsidRDefault="00281BD3" w:rsidP="00583655">
      <w:pPr>
        <w:spacing w:after="0" w:line="240" w:lineRule="auto"/>
      </w:pPr>
      <w:r>
        <w:separator/>
      </w:r>
    </w:p>
  </w:endnote>
  <w:endnote w:type="continuationSeparator" w:id="0">
    <w:p w14:paraId="6CBF7058" w14:textId="77777777" w:rsidR="00281BD3" w:rsidRDefault="00281BD3" w:rsidP="00583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6A52" w14:textId="77777777" w:rsidR="00281BD3" w:rsidRDefault="00281BD3" w:rsidP="00583655">
      <w:pPr>
        <w:spacing w:after="0" w:line="240" w:lineRule="auto"/>
      </w:pPr>
      <w:r>
        <w:separator/>
      </w:r>
    </w:p>
  </w:footnote>
  <w:footnote w:type="continuationSeparator" w:id="0">
    <w:p w14:paraId="20E7FAF5" w14:textId="77777777" w:rsidR="00281BD3" w:rsidRDefault="00281BD3" w:rsidP="00583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5FCA" w14:textId="6A78A102" w:rsidR="00583655" w:rsidRPr="00583655" w:rsidRDefault="00583655">
    <w:pPr>
      <w:pStyle w:val="Cabealho"/>
      <w:rPr>
        <w:rFonts w:ascii="Arial" w:hAnsi="Arial" w:cs="Arial"/>
        <w:b/>
        <w:bCs/>
        <w:sz w:val="22"/>
        <w:szCs w:val="22"/>
      </w:rPr>
    </w:pPr>
    <w:r w:rsidRPr="00583655">
      <w:rPr>
        <w:rFonts w:ascii="Arial" w:hAnsi="Arial" w:cs="Arial"/>
        <w:b/>
        <w:bCs/>
        <w:sz w:val="22"/>
        <w:szCs w:val="22"/>
      </w:rPr>
      <w:t>REGIMENTO INTERNO</w:t>
    </w:r>
  </w:p>
  <w:p w14:paraId="114D7A2D" w14:textId="368CBAFD" w:rsidR="00583655" w:rsidRPr="00583655" w:rsidRDefault="00583655">
    <w:pPr>
      <w:pStyle w:val="Cabealho"/>
      <w:rPr>
        <w:rFonts w:ascii="Arial" w:hAnsi="Arial" w:cs="Arial"/>
        <w:b/>
        <w:bCs/>
        <w:sz w:val="22"/>
        <w:szCs w:val="22"/>
      </w:rPr>
    </w:pPr>
    <w:r w:rsidRPr="00583655">
      <w:rPr>
        <w:rFonts w:ascii="Arial" w:hAnsi="Arial" w:cs="Arial"/>
        <w:b/>
        <w:bCs/>
        <w:sz w:val="22"/>
        <w:szCs w:val="22"/>
      </w:rPr>
      <w:t>Das Eleições dos Ocupantes dos Cargos Diretivos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7503"/>
    <w:multiLevelType w:val="multilevel"/>
    <w:tmpl w:val="71B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2608"/>
    <w:multiLevelType w:val="multilevel"/>
    <w:tmpl w:val="66D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50511"/>
    <w:multiLevelType w:val="multilevel"/>
    <w:tmpl w:val="27B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F4562"/>
    <w:multiLevelType w:val="multilevel"/>
    <w:tmpl w:val="2A0ED6B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4A4B6F05"/>
    <w:multiLevelType w:val="multilevel"/>
    <w:tmpl w:val="E02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129C2"/>
    <w:multiLevelType w:val="multilevel"/>
    <w:tmpl w:val="874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1725">
    <w:abstractNumId w:val="2"/>
  </w:num>
  <w:num w:numId="2" w16cid:durableId="1720323623">
    <w:abstractNumId w:val="5"/>
  </w:num>
  <w:num w:numId="3" w16cid:durableId="1834372851">
    <w:abstractNumId w:val="0"/>
  </w:num>
  <w:num w:numId="4" w16cid:durableId="1825732203">
    <w:abstractNumId w:val="1"/>
  </w:num>
  <w:num w:numId="5" w16cid:durableId="1377392119">
    <w:abstractNumId w:val="4"/>
  </w:num>
  <w:num w:numId="6" w16cid:durableId="330526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55"/>
    <w:rsid w:val="000022EB"/>
    <w:rsid w:val="00005690"/>
    <w:rsid w:val="00052930"/>
    <w:rsid w:val="00097DF4"/>
    <w:rsid w:val="000C6F2E"/>
    <w:rsid w:val="000E6391"/>
    <w:rsid w:val="000F3AA9"/>
    <w:rsid w:val="001018FE"/>
    <w:rsid w:val="001077A9"/>
    <w:rsid w:val="0012746E"/>
    <w:rsid w:val="001578CB"/>
    <w:rsid w:val="00190613"/>
    <w:rsid w:val="00222E99"/>
    <w:rsid w:val="00251022"/>
    <w:rsid w:val="00281BD3"/>
    <w:rsid w:val="002900C5"/>
    <w:rsid w:val="0029644B"/>
    <w:rsid w:val="002A4478"/>
    <w:rsid w:val="002D5411"/>
    <w:rsid w:val="002F1A4F"/>
    <w:rsid w:val="00317747"/>
    <w:rsid w:val="00347C9D"/>
    <w:rsid w:val="003A1A7E"/>
    <w:rsid w:val="003E176F"/>
    <w:rsid w:val="00423CED"/>
    <w:rsid w:val="004D16C1"/>
    <w:rsid w:val="004E5BFE"/>
    <w:rsid w:val="005264D2"/>
    <w:rsid w:val="00583655"/>
    <w:rsid w:val="005F602E"/>
    <w:rsid w:val="00672685"/>
    <w:rsid w:val="00697F62"/>
    <w:rsid w:val="006A4CE2"/>
    <w:rsid w:val="006B5B48"/>
    <w:rsid w:val="006C6933"/>
    <w:rsid w:val="006D373E"/>
    <w:rsid w:val="00712F3C"/>
    <w:rsid w:val="00714342"/>
    <w:rsid w:val="00714C7A"/>
    <w:rsid w:val="00715607"/>
    <w:rsid w:val="00754BF7"/>
    <w:rsid w:val="007607E6"/>
    <w:rsid w:val="007865BD"/>
    <w:rsid w:val="007A198E"/>
    <w:rsid w:val="00801237"/>
    <w:rsid w:val="00803597"/>
    <w:rsid w:val="008131C2"/>
    <w:rsid w:val="00840FF0"/>
    <w:rsid w:val="008637A2"/>
    <w:rsid w:val="00863969"/>
    <w:rsid w:val="00865B6A"/>
    <w:rsid w:val="008678DC"/>
    <w:rsid w:val="008B06C4"/>
    <w:rsid w:val="008B39C8"/>
    <w:rsid w:val="008C3802"/>
    <w:rsid w:val="008C6B76"/>
    <w:rsid w:val="0092465F"/>
    <w:rsid w:val="00957F4F"/>
    <w:rsid w:val="00992979"/>
    <w:rsid w:val="009C0940"/>
    <w:rsid w:val="009F357F"/>
    <w:rsid w:val="00A572F8"/>
    <w:rsid w:val="00A72C97"/>
    <w:rsid w:val="00A73B04"/>
    <w:rsid w:val="00AC182D"/>
    <w:rsid w:val="00B1026B"/>
    <w:rsid w:val="00B44978"/>
    <w:rsid w:val="00B46264"/>
    <w:rsid w:val="00BE05CD"/>
    <w:rsid w:val="00BF27D9"/>
    <w:rsid w:val="00BF68BB"/>
    <w:rsid w:val="00C10CFD"/>
    <w:rsid w:val="00C14AC7"/>
    <w:rsid w:val="00C616CA"/>
    <w:rsid w:val="00C848D5"/>
    <w:rsid w:val="00C9246B"/>
    <w:rsid w:val="00CF4842"/>
    <w:rsid w:val="00D967EA"/>
    <w:rsid w:val="00E16785"/>
    <w:rsid w:val="00E352B3"/>
    <w:rsid w:val="00E42C27"/>
    <w:rsid w:val="00E43384"/>
    <w:rsid w:val="00E513A7"/>
    <w:rsid w:val="00E6283F"/>
    <w:rsid w:val="00E669D6"/>
    <w:rsid w:val="00E802F1"/>
    <w:rsid w:val="00E80661"/>
    <w:rsid w:val="00EC32A1"/>
    <w:rsid w:val="00F350A3"/>
    <w:rsid w:val="00F658B3"/>
    <w:rsid w:val="00FA30A2"/>
    <w:rsid w:val="00FE5704"/>
    <w:rsid w:val="00FF43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F24F"/>
  <w15:chartTrackingRefBased/>
  <w15:docId w15:val="{37E5BB40-B137-46AB-A4D6-889A6A09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83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83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836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836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836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836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836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836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836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836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836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836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836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836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836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836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836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83655"/>
    <w:rPr>
      <w:rFonts w:eastAsiaTheme="majorEastAsia" w:cstheme="majorBidi"/>
      <w:color w:val="272727" w:themeColor="text1" w:themeTint="D8"/>
    </w:rPr>
  </w:style>
  <w:style w:type="paragraph" w:styleId="Ttulo">
    <w:name w:val="Title"/>
    <w:basedOn w:val="Normal"/>
    <w:next w:val="Normal"/>
    <w:link w:val="TtuloChar"/>
    <w:uiPriority w:val="10"/>
    <w:qFormat/>
    <w:rsid w:val="00583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836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836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836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83655"/>
    <w:pPr>
      <w:spacing w:before="160"/>
      <w:jc w:val="center"/>
    </w:pPr>
    <w:rPr>
      <w:i/>
      <w:iCs/>
      <w:color w:val="404040" w:themeColor="text1" w:themeTint="BF"/>
    </w:rPr>
  </w:style>
  <w:style w:type="character" w:customStyle="1" w:styleId="CitaoChar">
    <w:name w:val="Citação Char"/>
    <w:basedOn w:val="Fontepargpadro"/>
    <w:link w:val="Citao"/>
    <w:uiPriority w:val="29"/>
    <w:rsid w:val="00583655"/>
    <w:rPr>
      <w:i/>
      <w:iCs/>
      <w:color w:val="404040" w:themeColor="text1" w:themeTint="BF"/>
    </w:rPr>
  </w:style>
  <w:style w:type="paragraph" w:styleId="PargrafodaLista">
    <w:name w:val="List Paragraph"/>
    <w:basedOn w:val="Normal"/>
    <w:uiPriority w:val="34"/>
    <w:qFormat/>
    <w:rsid w:val="00583655"/>
    <w:pPr>
      <w:ind w:left="720"/>
      <w:contextualSpacing/>
    </w:pPr>
  </w:style>
  <w:style w:type="character" w:styleId="nfaseIntensa">
    <w:name w:val="Intense Emphasis"/>
    <w:basedOn w:val="Fontepargpadro"/>
    <w:uiPriority w:val="21"/>
    <w:qFormat/>
    <w:rsid w:val="00583655"/>
    <w:rPr>
      <w:i/>
      <w:iCs/>
      <w:color w:val="0F4761" w:themeColor="accent1" w:themeShade="BF"/>
    </w:rPr>
  </w:style>
  <w:style w:type="paragraph" w:styleId="CitaoIntensa">
    <w:name w:val="Intense Quote"/>
    <w:basedOn w:val="Normal"/>
    <w:next w:val="Normal"/>
    <w:link w:val="CitaoIntensaChar"/>
    <w:uiPriority w:val="30"/>
    <w:qFormat/>
    <w:rsid w:val="00583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83655"/>
    <w:rPr>
      <w:i/>
      <w:iCs/>
      <w:color w:val="0F4761" w:themeColor="accent1" w:themeShade="BF"/>
    </w:rPr>
  </w:style>
  <w:style w:type="character" w:styleId="RefernciaIntensa">
    <w:name w:val="Intense Reference"/>
    <w:basedOn w:val="Fontepargpadro"/>
    <w:uiPriority w:val="32"/>
    <w:qFormat/>
    <w:rsid w:val="00583655"/>
    <w:rPr>
      <w:b/>
      <w:bCs/>
      <w:smallCaps/>
      <w:color w:val="0F4761" w:themeColor="accent1" w:themeShade="BF"/>
      <w:spacing w:val="5"/>
    </w:rPr>
  </w:style>
  <w:style w:type="paragraph" w:styleId="Cabealho">
    <w:name w:val="header"/>
    <w:basedOn w:val="Normal"/>
    <w:link w:val="CabealhoChar"/>
    <w:uiPriority w:val="99"/>
    <w:unhideWhenUsed/>
    <w:rsid w:val="005836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83655"/>
  </w:style>
  <w:style w:type="paragraph" w:styleId="Rodap">
    <w:name w:val="footer"/>
    <w:basedOn w:val="Normal"/>
    <w:link w:val="RodapChar"/>
    <w:uiPriority w:val="99"/>
    <w:unhideWhenUsed/>
    <w:rsid w:val="00583655"/>
    <w:pPr>
      <w:tabs>
        <w:tab w:val="center" w:pos="4252"/>
        <w:tab w:val="right" w:pos="8504"/>
      </w:tabs>
      <w:spacing w:after="0" w:line="240" w:lineRule="auto"/>
    </w:pPr>
  </w:style>
  <w:style w:type="character" w:customStyle="1" w:styleId="RodapChar">
    <w:name w:val="Rodapé Char"/>
    <w:basedOn w:val="Fontepargpadro"/>
    <w:link w:val="Rodap"/>
    <w:uiPriority w:val="99"/>
    <w:rsid w:val="00583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2640</Words>
  <Characters>14260</Characters>
  <Application>Microsoft Office Word</Application>
  <DocSecurity>0</DocSecurity>
  <Lines>118</Lines>
  <Paragraphs>33</Paragraphs>
  <ScaleCrop>false</ScaleCrop>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Vic</dc:creator>
  <cp:keywords/>
  <dc:description/>
  <cp:lastModifiedBy>Victoria Vic</cp:lastModifiedBy>
  <cp:revision>92</cp:revision>
  <dcterms:created xsi:type="dcterms:W3CDTF">2026-07-31T20:40:00Z</dcterms:created>
  <dcterms:modified xsi:type="dcterms:W3CDTF">2026-07-31T21:36:00Z</dcterms:modified>
</cp:coreProperties>
</file>