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nts/Tahoma-bold.ttf" ContentType="application/x-font-ttf"/>
  <Override PartName="/word/fonts/Tahoma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133.8582677165355" w:right="0" w:firstLine="0"/>
        <w:jc w:val="left"/>
        <w:rPr>
          <w:rFonts w:ascii="Montserrat" w:cs="Montserrat" w:eastAsia="Montserrat" w:hAnsi="Montserrat"/>
          <w:color w:val="ff0000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e0000"/>
          <w:sz w:val="20"/>
          <w:szCs w:val="20"/>
          <w:u w:val="single"/>
        </w:rPr>
        <mc:AlternateContent>
          <mc:Choice Requires="wpg">
            <w:drawing>
              <wp:inline distB="0" distT="0" distL="0" distR="0">
                <wp:extent cx="2134870" cy="403894"/>
                <wp:effectExtent b="25400" l="25400" r="25400" t="254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297650" y="3658575"/>
                          <a:ext cx="2096700" cy="379200"/>
                        </a:xfrm>
                        <a:prstGeom prst="rect">
                          <a:avLst/>
                        </a:prstGeom>
                        <a:solidFill>
                          <a:srgbClr val="FE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88.00000190734863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0"/>
                                <w:vertAlign w:val="baseline"/>
                              </w:rPr>
                              <w:t xml:space="preserve">09/02 - 13/02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134870" cy="403894"/>
                <wp:effectExtent b="25400" l="25400" r="25400" t="254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4870" cy="403894"/>
                        </a:xfrm>
                        <a:prstGeom prst="rect"/>
                        <a:ln w="25400">
                          <a:solidFill>
                            <a:srgbClr val="FF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0" w:before="0" w:line="360" w:lineRule="auto"/>
        <w:ind w:right="-1.6535433070862382"/>
        <w:rPr>
          <w:rFonts w:ascii="Montserrat" w:cs="Montserrat" w:eastAsia="Montserrat" w:hAnsi="Montserrat"/>
          <w:color w:val="ff0000"/>
        </w:rPr>
      </w:pPr>
      <w:bookmarkStart w:colFirst="0" w:colLast="0" w:name="_npd93ez4zd41" w:id="0"/>
      <w:bookmarkEnd w:id="0"/>
      <w:r w:rsidDel="00000000" w:rsidR="00000000" w:rsidRPr="00000000">
        <w:rPr>
          <w:rFonts w:ascii="Montserrat" w:cs="Montserrat" w:eastAsia="Montserrat" w:hAnsi="Montserrat"/>
          <w:color w:val="fe0000"/>
          <w:rtl w:val="0"/>
        </w:rPr>
        <w:t xml:space="preserve">Câmara dos </w:t>
      </w: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Deputados</w:t>
      </w:r>
    </w:p>
    <w:p w:rsidR="00000000" w:rsidDel="00000000" w:rsidP="00000000" w:rsidRDefault="00000000" w:rsidRPr="00000000" w14:paraId="00000005">
      <w:pPr>
        <w:keepNext w:val="0"/>
        <w:keepLines w:val="0"/>
        <w:shd w:fill="ffffff" w:val="clear"/>
        <w:spacing w:before="0"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</w:p>
    <w:p w:rsidR="00000000" w:rsidDel="00000000" w:rsidP="00000000" w:rsidRDefault="00000000" w:rsidRPr="00000000" w14:paraId="00000005">
      <w:pPr>
        <w:keepNext w:val="0"/>
        <w:keepLines w:val="0"/>
        <w:shd w:fill="ffffff" w:val="clear"/>
        <w:spacing w:before="0"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hyperlink r:id="rId29">
        <w:r>
          <w:rPr>
            <w:rFonts w:ascii="Montserrat" w:cs="Montserrat" w:eastAsia="Montserrat" w:hAnsi="Montserrat"/>
            <w:b w:val="1"/>
            <w:bCs w:val="1"/>
            <w:color w:val="ff0000"/>
            <w:sz w:val="20"/>
            <w:szCs w:val="20"/>
          </w:rPr>
          <w:t xml:space="preserve">PL 5236/2026</w:t>
        </w:r>
      </w:hyperlink>
    </w:p>
    <w:p w:rsidR="00000000" w:rsidDel="00000000" w:rsidP="00000000" w:rsidRDefault="00000000" w:rsidRPr="00000000" w14:paraId="00000006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Ementa: </w:t>
      </w:r>
      <w:r>
        <w:rPr>
          <w:rFonts w:ascii="Montserrat" w:hAnsi="Montserrat"/>
          <w:b w:val="0"/>
          <w:color w:val="333333"/>
          <w:sz w:val="20"/>
          <w:u w:val="none"/>
        </w:rPr>
        <w:t>Institui a Política Nacional Natália Fagundes Morari de Proteção e Cuidado Integral à Saúde Mental das Profissionais de Segurança Pública e Defesa Social durante a gestação e o período pós-parto e institui o Dia Nacional de Conscientização sobre a Saúde Mental Materna das Profissionais de Segurança Pública e Defesa Social.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Autor: </w:t>
      </w:r>
      <w:r>
        <w:rPr>
          <w:rFonts w:ascii="Montserrat" w:hAnsi="Montserrat"/>
          <w:b w:val="0"/>
          <w:color w:val="333333"/>
          <w:sz w:val="20"/>
          <w:u w:val="none"/>
        </w:rPr>
        <w:t>Sargento Fahur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Data de apresentação: </w:t>
      </w:r>
      <w:r>
        <w:rPr>
          <w:rFonts w:ascii="Montserrat" w:hAnsi="Montserrat"/>
          <w:b w:val="0"/>
          <w:color w:val="333333"/>
          <w:sz w:val="20"/>
          <w:u w:val="none"/>
        </w:rPr>
        <w:t>31/08/2026</w:t>
      </w:r>
    </w:p>
    <w:p w:rsidR="00000000" w:rsidDel="00000000" w:rsidP="00000000" w:rsidRDefault="00000000" w:rsidRPr="00000000" w14:paraId="00000005">
      <w:pPr>
        <w:keepNext w:val="0"/>
        <w:keepLines w:val="0"/>
        <w:shd w:fill="ffffff" w:val="clear"/>
        <w:spacing w:before="0"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</w:p>
    <w:p w:rsidR="00000000" w:rsidDel="00000000" w:rsidP="00000000" w:rsidRDefault="00000000" w:rsidRPr="00000000" w14:paraId="00000005">
      <w:pPr>
        <w:keepNext w:val="0"/>
        <w:keepLines w:val="0"/>
        <w:shd w:fill="ffffff" w:val="clear"/>
        <w:spacing w:before="0"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hyperlink r:id="rId30">
        <w:r>
          <w:rPr>
            <w:rFonts w:ascii="Montserrat" w:cs="Montserrat" w:eastAsia="Montserrat" w:hAnsi="Montserrat"/>
            <w:b w:val="1"/>
            <w:bCs w:val="1"/>
            <w:color w:val="ff0000"/>
            <w:sz w:val="20"/>
            <w:szCs w:val="20"/>
          </w:rPr>
          <w:t xml:space="preserve">PL 5239/2026</w:t>
        </w:r>
      </w:hyperlink>
    </w:p>
    <w:p w:rsidR="00000000" w:rsidDel="00000000" w:rsidP="00000000" w:rsidRDefault="00000000" w:rsidRPr="00000000" w14:paraId="00000006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Ementa: </w:t>
      </w:r>
      <w:r>
        <w:rPr>
          <w:rFonts w:ascii="Montserrat" w:hAnsi="Montserrat"/>
          <w:b w:val="0"/>
          <w:color w:val="333333"/>
          <w:sz w:val="20"/>
          <w:u w:val="none"/>
        </w:rPr>
        <w:t>Altera o artigo 6.º da Lei n.º 14.601, de 19 de junho de 2023, para prever a manutenção das famílias beneficiárias do Programa Bolsa Família na regra de proteção pelo período de vinte e quatro meses, contados da obtenção de emprego formal por um ou mais de seus integrantes, com a assinatura da Carteira de Trabalho e Previdência Social, garantida, durante todo o período, a percepção de cem por cento do valor do benefício a que a família teria direito, independentemente do valor da renda gerada pelo novo vínculo empregatício.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Autor: </w:t>
      </w:r>
      <w:r>
        <w:rPr>
          <w:rFonts w:ascii="Montserrat" w:hAnsi="Montserrat"/>
          <w:b w:val="0"/>
          <w:color w:val="333333"/>
          <w:sz w:val="20"/>
          <w:u w:val="none"/>
        </w:rPr>
        <w:t>Adolfo Viana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Data de apresentação: </w:t>
      </w:r>
      <w:r>
        <w:rPr>
          <w:rFonts w:ascii="Montserrat" w:hAnsi="Montserrat"/>
          <w:b w:val="0"/>
          <w:color w:val="333333"/>
          <w:sz w:val="20"/>
          <w:u w:val="none"/>
        </w:rPr>
        <w:t>31/08/2026</w:t>
      </w:r>
    </w:p>
    <w:p w:rsidR="00000000" w:rsidDel="00000000" w:rsidP="00000000" w:rsidRDefault="00000000" w:rsidRPr="00000000" w14:paraId="00000005">
      <w:pPr>
        <w:keepNext w:val="0"/>
        <w:keepLines w:val="0"/>
        <w:shd w:fill="ffffff" w:val="clear"/>
        <w:spacing w:before="0"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</w:p>
    <w:p w:rsidR="00000000" w:rsidDel="00000000" w:rsidP="00000000" w:rsidRDefault="00000000" w:rsidRPr="00000000" w14:paraId="00000005">
      <w:pPr>
        <w:keepNext w:val="0"/>
        <w:keepLines w:val="0"/>
        <w:shd w:fill="ffffff" w:val="clear"/>
        <w:spacing w:before="0"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hyperlink r:id="rId31">
        <w:r>
          <w:rPr>
            <w:rFonts w:ascii="Montserrat" w:cs="Montserrat" w:eastAsia="Montserrat" w:hAnsi="Montserrat"/>
            <w:b w:val="1"/>
            <w:bCs w:val="1"/>
            <w:color w:val="ff0000"/>
            <w:sz w:val="20"/>
            <w:szCs w:val="20"/>
          </w:rPr>
          <w:t xml:space="preserve">PL 5240/2026</w:t>
        </w:r>
      </w:hyperlink>
    </w:p>
    <w:p w:rsidR="00000000" w:rsidDel="00000000" w:rsidP="00000000" w:rsidRDefault="00000000" w:rsidRPr="00000000" w14:paraId="00000006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Ementa: </w:t>
      </w:r>
      <w:r>
        <w:rPr>
          <w:rFonts w:ascii="Montserrat" w:hAnsi="Montserrat"/>
          <w:b w:val="0"/>
          <w:color w:val="333333"/>
          <w:sz w:val="20"/>
          <w:u w:val="none"/>
        </w:rPr>
        <w:t>Institui a Política Nacional "Rede Recomeço", voltada ao incentivo da autonomia financeira, empregabilidade, qualificação profissional e suporte socioeconômico para mulheres vítimas de violência doméstica e familiar; e altera a Lei nº 11.340, de 7 de agosto de 2006 (Lei Maria da Penha).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Autor: </w:t>
      </w:r>
      <w:r>
        <w:rPr>
          <w:rFonts w:ascii="Montserrat" w:hAnsi="Montserrat"/>
          <w:b w:val="0"/>
          <w:color w:val="333333"/>
          <w:sz w:val="20"/>
          <w:u w:val="none"/>
        </w:rPr>
        <w:t>Albuquerque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Data de apresentação: </w:t>
      </w:r>
      <w:r>
        <w:rPr>
          <w:rFonts w:ascii="Montserrat" w:hAnsi="Montserrat"/>
          <w:b w:val="0"/>
          <w:color w:val="333333"/>
          <w:sz w:val="20"/>
          <w:u w:val="none"/>
        </w:rPr>
        <w:t>31/08/2026</w:t>
      </w:r>
    </w:p>
    <w:p w:rsidR="00000000" w:rsidDel="00000000" w:rsidP="00000000" w:rsidRDefault="00000000" w:rsidRPr="00000000" w14:paraId="00000005">
      <w:pPr>
        <w:keepNext w:val="0"/>
        <w:keepLines w:val="0"/>
        <w:shd w:fill="ffffff" w:val="clear"/>
        <w:spacing w:before="0"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</w:p>
    <w:p w:rsidR="00000000" w:rsidDel="00000000" w:rsidP="00000000" w:rsidRDefault="00000000" w:rsidRPr="00000000" w14:paraId="00000005">
      <w:pPr>
        <w:keepNext w:val="0"/>
        <w:keepLines w:val="0"/>
        <w:shd w:fill="ffffff" w:val="clear"/>
        <w:spacing w:before="0"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hyperlink r:id="rId32">
        <w:r>
          <w:rPr>
            <w:rFonts w:ascii="Montserrat" w:cs="Montserrat" w:eastAsia="Montserrat" w:hAnsi="Montserrat"/>
            <w:b w:val="1"/>
            <w:bCs w:val="1"/>
            <w:color w:val="ff0000"/>
            <w:sz w:val="20"/>
            <w:szCs w:val="20"/>
          </w:rPr>
          <w:t xml:space="preserve">PL 5252/2026</w:t>
        </w:r>
      </w:hyperlink>
    </w:p>
    <w:p w:rsidR="00000000" w:rsidDel="00000000" w:rsidP="00000000" w:rsidRDefault="00000000" w:rsidRPr="00000000" w14:paraId="00000006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Ementa: </w:t>
      </w:r>
      <w:r>
        <w:rPr>
          <w:rFonts w:ascii="Montserrat" w:hAnsi="Montserrat"/>
          <w:b w:val="0"/>
          <w:color w:val="333333"/>
          <w:sz w:val="20"/>
          <w:u w:val="none"/>
        </w:rPr>
        <w:t>Altera a Lei nº 13.022, de 8 de agosto de 2014, para reconhecer a natureza perigosa das atividades de segurança urbana exercidas pelas Guardas Municipais e estabelecer normas gerais relativas ao adicional de periculosidade dos seus integrantes.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Autor: </w:t>
      </w:r>
      <w:r>
        <w:rPr>
          <w:rFonts w:ascii="Montserrat" w:hAnsi="Montserrat"/>
          <w:b w:val="0"/>
          <w:color w:val="333333"/>
          <w:sz w:val="20"/>
          <w:u w:val="none"/>
        </w:rPr>
        <w:t>Alex Manente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Data de apresentação: </w:t>
      </w:r>
      <w:r>
        <w:rPr>
          <w:rFonts w:ascii="Montserrat" w:hAnsi="Montserrat"/>
          <w:b w:val="0"/>
          <w:color w:val="333333"/>
          <w:sz w:val="20"/>
          <w:u w:val="none"/>
        </w:rPr>
        <w:t>01/09/2026</w:t>
      </w:r>
    </w:p>
    <w:p w:rsidR="00000000" w:rsidDel="00000000" w:rsidP="00000000" w:rsidRDefault="00000000" w:rsidRPr="00000000" w14:paraId="00000005">
      <w:pPr>
        <w:keepNext w:val="0"/>
        <w:keepLines w:val="0"/>
        <w:shd w:fill="ffffff" w:val="clear"/>
        <w:spacing w:before="0"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</w:p>
    <w:p w:rsidR="00000000" w:rsidDel="00000000" w:rsidP="00000000" w:rsidRDefault="00000000" w:rsidRPr="00000000" w14:paraId="00000005">
      <w:pPr>
        <w:keepNext w:val="0"/>
        <w:keepLines w:val="0"/>
        <w:shd w:fill="ffffff" w:val="clear"/>
        <w:spacing w:before="0"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hyperlink r:id="rId33">
        <w:r>
          <w:rPr>
            <w:rFonts w:ascii="Montserrat" w:cs="Montserrat" w:eastAsia="Montserrat" w:hAnsi="Montserrat"/>
            <w:b w:val="1"/>
            <w:bCs w:val="1"/>
            <w:color w:val="ff0000"/>
            <w:sz w:val="20"/>
            <w:szCs w:val="20"/>
          </w:rPr>
          <w:t xml:space="preserve">PL 5263/2026</w:t>
        </w:r>
      </w:hyperlink>
    </w:p>
    <w:p w:rsidR="00000000" w:rsidDel="00000000" w:rsidP="00000000" w:rsidRDefault="00000000" w:rsidRPr="00000000" w14:paraId="00000006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Ementa: </w:t>
      </w:r>
      <w:r>
        <w:rPr>
          <w:rFonts w:ascii="Montserrat" w:hAnsi="Montserrat"/>
          <w:b w:val="0"/>
          <w:color w:val="333333"/>
          <w:sz w:val="20"/>
          <w:u w:val="none"/>
        </w:rPr>
        <w:t>Altera a Lei nº 8.742, de 7 de dezembro de 1993 (Lei Orgânica da Assistência Social – LOAS), para ampliar o Benefício de Prestação Continuada (BPC) das pessoas com Transtorno do Espectro Autista (TEA), com majoração escalonada de acordo com o grau de suporte, proteção especial à mãe solo e dá outras providências.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Autor: </w:t>
      </w:r>
      <w:r>
        <w:rPr>
          <w:rFonts w:ascii="Montserrat" w:hAnsi="Montserrat"/>
          <w:b w:val="0"/>
          <w:color w:val="333333"/>
          <w:sz w:val="20"/>
          <w:u w:val="none"/>
        </w:rPr>
        <w:t>Fausto Jr.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Data de apresentação: </w:t>
      </w:r>
      <w:r>
        <w:rPr>
          <w:rFonts w:ascii="Montserrat" w:hAnsi="Montserrat"/>
          <w:b w:val="0"/>
          <w:color w:val="333333"/>
          <w:sz w:val="20"/>
          <w:u w:val="none"/>
        </w:rPr>
        <w:t>01/09/2026</w:t>
      </w:r>
    </w:p>
    <w:p w:rsidR="00000000" w:rsidDel="00000000" w:rsidP="00000000" w:rsidRDefault="00000000" w:rsidRPr="00000000" w14:paraId="00000005">
      <w:pPr>
        <w:keepNext w:val="0"/>
        <w:keepLines w:val="0"/>
        <w:shd w:fill="ffffff" w:val="clear"/>
        <w:spacing w:before="0"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</w:p>
    <w:p w:rsidR="00000000" w:rsidDel="00000000" w:rsidP="00000000" w:rsidRDefault="00000000" w:rsidRPr="00000000" w14:paraId="00000005">
      <w:pPr>
        <w:keepNext w:val="0"/>
        <w:keepLines w:val="0"/>
        <w:shd w:fill="ffffff" w:val="clear"/>
        <w:spacing w:before="0"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hyperlink r:id="rId34">
        <w:r>
          <w:rPr>
            <w:rFonts w:ascii="Montserrat" w:cs="Montserrat" w:eastAsia="Montserrat" w:hAnsi="Montserrat"/>
            <w:b w:val="1"/>
            <w:bCs w:val="1"/>
            <w:color w:val="ff0000"/>
            <w:sz w:val="20"/>
            <w:szCs w:val="20"/>
          </w:rPr>
          <w:t xml:space="preserve">PL 5264/2026</w:t>
        </w:r>
      </w:hyperlink>
    </w:p>
    <w:p w:rsidR="00000000" w:rsidDel="00000000" w:rsidP="00000000" w:rsidRDefault="00000000" w:rsidRPr="00000000" w14:paraId="00000006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Ementa: </w:t>
      </w:r>
      <w:r>
        <w:rPr>
          <w:rFonts w:ascii="Montserrat" w:hAnsi="Montserrat"/>
          <w:b w:val="0"/>
          <w:color w:val="333333"/>
          <w:sz w:val="20"/>
          <w:u w:val="none"/>
        </w:rPr>
        <w:t>Institui o Auxílio Maria Cecília, destinado à proteção socioeconômica das famílias de crianças e adolescentes em tratamento oncológico, altera a Lei nº 8.742, de 7 de dezembro de 1993 e dá outras providências.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Autor: </w:t>
      </w:r>
      <w:r>
        <w:rPr>
          <w:rFonts w:ascii="Montserrat" w:hAnsi="Montserrat"/>
          <w:b w:val="0"/>
          <w:color w:val="333333"/>
          <w:sz w:val="20"/>
          <w:u w:val="none"/>
        </w:rPr>
        <w:t>Fernando Rodolfo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Data de apresentação: </w:t>
      </w:r>
      <w:r>
        <w:rPr>
          <w:rFonts w:ascii="Montserrat" w:hAnsi="Montserrat"/>
          <w:b w:val="0"/>
          <w:color w:val="333333"/>
          <w:sz w:val="20"/>
          <w:u w:val="none"/>
        </w:rPr>
        <w:t>01/09/2026</w:t>
      </w:r>
    </w:p>
    <w:p w:rsidR="00000000" w:rsidDel="00000000" w:rsidP="00000000" w:rsidRDefault="00000000" w:rsidRPr="00000000" w14:paraId="00000005">
      <w:pPr>
        <w:keepNext w:val="0"/>
        <w:keepLines w:val="0"/>
        <w:shd w:fill="ffffff" w:val="clear"/>
        <w:spacing w:before="0"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</w:p>
    <w:p w:rsidR="00000000" w:rsidDel="00000000" w:rsidP="00000000" w:rsidRDefault="00000000" w:rsidRPr="00000000" w14:paraId="00000005">
      <w:pPr>
        <w:keepNext w:val="0"/>
        <w:keepLines w:val="0"/>
        <w:shd w:fill="ffffff" w:val="clear"/>
        <w:spacing w:before="0"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hyperlink r:id="rId35">
        <w:r>
          <w:rPr>
            <w:rFonts w:ascii="Montserrat" w:cs="Montserrat" w:eastAsia="Montserrat" w:hAnsi="Montserrat"/>
            <w:b w:val="1"/>
            <w:bCs w:val="1"/>
            <w:color w:val="ff0000"/>
            <w:sz w:val="20"/>
            <w:szCs w:val="20"/>
          </w:rPr>
          <w:t xml:space="preserve">PL 5272/2026</w:t>
        </w:r>
      </w:hyperlink>
    </w:p>
    <w:p w:rsidR="00000000" w:rsidDel="00000000" w:rsidP="00000000" w:rsidRDefault="00000000" w:rsidRPr="00000000" w14:paraId="00000006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Ementa: </w:t>
      </w:r>
      <w:r>
        <w:rPr>
          <w:rFonts w:ascii="Montserrat" w:hAnsi="Montserrat"/>
          <w:b w:val="0"/>
          <w:color w:val="333333"/>
          <w:sz w:val="20"/>
          <w:u w:val="none"/>
        </w:rPr>
        <w:t>Institui o Programa Nacional SPA – Saúde Mental e Bem-Estar, estabelece diretrizes para a promoção da saúde mental e a prevenção do sofrimento psíquico no âmbito do Sistema Único de Saúde – SUS, e dá outras providências.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Autor: </w:t>
      </w:r>
      <w:r>
        <w:rPr>
          <w:rFonts w:ascii="Montserrat" w:hAnsi="Montserrat"/>
          <w:b w:val="0"/>
          <w:color w:val="333333"/>
          <w:sz w:val="20"/>
          <w:u w:val="none"/>
        </w:rPr>
        <w:t>Aline Gurgel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Data de apresentação: </w:t>
      </w:r>
      <w:r>
        <w:rPr>
          <w:rFonts w:ascii="Montserrat" w:hAnsi="Montserrat"/>
          <w:b w:val="0"/>
          <w:color w:val="333333"/>
          <w:sz w:val="20"/>
          <w:u w:val="none"/>
        </w:rPr>
        <w:t>01/09/2026</w:t>
      </w:r>
    </w:p>
    <w:p w:rsidR="00000000" w:rsidDel="00000000" w:rsidP="00000000" w:rsidRDefault="00000000" w:rsidRPr="00000000" w14:paraId="00000005">
      <w:pPr>
        <w:keepNext w:val="0"/>
        <w:keepLines w:val="0"/>
        <w:shd w:fill="ffffff" w:val="clear"/>
        <w:spacing w:before="0"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</w:p>
    <w:p w:rsidR="00000000" w:rsidDel="00000000" w:rsidP="00000000" w:rsidRDefault="00000000" w:rsidRPr="00000000" w14:paraId="00000005">
      <w:pPr>
        <w:keepNext w:val="0"/>
        <w:keepLines w:val="0"/>
        <w:shd w:fill="ffffff" w:val="clear"/>
        <w:spacing w:before="0"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hyperlink r:id="rId36">
        <w:r>
          <w:rPr>
            <w:rFonts w:ascii="Montserrat" w:cs="Montserrat" w:eastAsia="Montserrat" w:hAnsi="Montserrat"/>
            <w:b w:val="1"/>
            <w:bCs w:val="1"/>
            <w:color w:val="ff0000"/>
            <w:sz w:val="20"/>
            <w:szCs w:val="20"/>
          </w:rPr>
          <w:t xml:space="preserve">PL 5276/2026</w:t>
        </w:r>
      </w:hyperlink>
    </w:p>
    <w:p w:rsidR="00000000" w:rsidDel="00000000" w:rsidP="00000000" w:rsidRDefault="00000000" w:rsidRPr="00000000" w14:paraId="00000006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Ementa: </w:t>
      </w:r>
      <w:r>
        <w:rPr>
          <w:rFonts w:ascii="Montserrat" w:hAnsi="Montserrat"/>
          <w:b w:val="0"/>
          <w:color w:val="333333"/>
          <w:sz w:val="20"/>
          <w:u w:val="none"/>
        </w:rPr>
        <w:t>Altera a Lei nº 8.069, de 13 de julho de 1990 (Estatuto da Criança e do Adolescente), para reconhecer a orfandade como condição especial para a formulação, implementação e execução de programas promovidos pelo Sistema Único de Saúde (SUS) para a prevenção e o tratamento de agravos de saúde mental.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Autor: </w:t>
      </w:r>
      <w:r>
        <w:rPr>
          <w:rFonts w:ascii="Montserrat" w:hAnsi="Montserrat"/>
          <w:b w:val="0"/>
          <w:color w:val="333333"/>
          <w:sz w:val="20"/>
          <w:u w:val="none"/>
        </w:rPr>
        <w:t>Laura Carneiro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Data de apresentação: </w:t>
      </w:r>
      <w:r>
        <w:rPr>
          <w:rFonts w:ascii="Montserrat" w:hAnsi="Montserrat"/>
          <w:b w:val="0"/>
          <w:color w:val="333333"/>
          <w:sz w:val="20"/>
          <w:u w:val="none"/>
        </w:rPr>
        <w:t>02/09/2026</w:t>
      </w:r>
    </w:p>
    <w:p w:rsidR="00000000" w:rsidDel="00000000" w:rsidP="00000000" w:rsidRDefault="00000000" w:rsidRPr="00000000" w14:paraId="00000005">
      <w:pPr>
        <w:keepNext w:val="0"/>
        <w:keepLines w:val="0"/>
        <w:shd w:fill="ffffff" w:val="clear"/>
        <w:spacing w:before="0"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</w:p>
    <w:p w:rsidR="00000000" w:rsidDel="00000000" w:rsidP="00000000" w:rsidRDefault="00000000" w:rsidRPr="00000000" w14:paraId="00000005">
      <w:pPr>
        <w:keepNext w:val="0"/>
        <w:keepLines w:val="0"/>
        <w:shd w:fill="ffffff" w:val="clear"/>
        <w:spacing w:before="0"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hyperlink r:id="rId37">
        <w:r>
          <w:rPr>
            <w:rFonts w:ascii="Montserrat" w:cs="Montserrat" w:eastAsia="Montserrat" w:hAnsi="Montserrat"/>
            <w:b w:val="1"/>
            <w:bCs w:val="1"/>
            <w:color w:val="ff0000"/>
            <w:sz w:val="20"/>
            <w:szCs w:val="20"/>
          </w:rPr>
          <w:t xml:space="preserve">PL 5286/2026</w:t>
        </w:r>
      </w:hyperlink>
    </w:p>
    <w:p w:rsidR="00000000" w:rsidDel="00000000" w:rsidP="00000000" w:rsidRDefault="00000000" w:rsidRPr="00000000" w14:paraId="00000006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Ementa: </w:t>
      </w:r>
      <w:r>
        <w:rPr>
          <w:rFonts w:ascii="Montserrat" w:hAnsi="Montserrat"/>
          <w:b w:val="0"/>
          <w:color w:val="333333"/>
          <w:sz w:val="20"/>
          <w:u w:val="none"/>
        </w:rPr>
        <w:t>Altera a Lei nº 8.742, de 7 de dezembro de 1993 (Lei Orgânica da Assistência Social - LOAS), para fortalecer a proteção social às pessoas com Transtorno do Espectro Autista (TEA) e demais deficiências, mediante a elevação do teto legal de renda familiar per capita de acesso ao Benefício de Prestação Continuada (BPC)  e a instituição do Adicional de Cuidado em Tempo Integral de 50% às famílias atípicas.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Autor: </w:t>
      </w:r>
      <w:r>
        <w:rPr>
          <w:rFonts w:ascii="Montserrat" w:hAnsi="Montserrat"/>
          <w:b w:val="0"/>
          <w:color w:val="333333"/>
          <w:sz w:val="20"/>
          <w:u w:val="none"/>
        </w:rPr>
        <w:t>Albuquerque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Data de apresentação: </w:t>
      </w:r>
      <w:r>
        <w:rPr>
          <w:rFonts w:ascii="Montserrat" w:hAnsi="Montserrat"/>
          <w:b w:val="0"/>
          <w:color w:val="333333"/>
          <w:sz w:val="20"/>
          <w:u w:val="none"/>
        </w:rPr>
        <w:t>03/09/2026</w:t>
      </w:r>
    </w:p>
    <w:p w:rsidR="00000000" w:rsidDel="00000000" w:rsidP="00000000" w:rsidRDefault="00000000" w:rsidRPr="00000000" w14:paraId="0000005B">
      <w:pPr>
        <w:pStyle w:val="Title"/>
        <w:spacing w:before="0" w:line="360" w:lineRule="auto"/>
        <w:ind w:right="-1.6535433070862382"/>
        <w:rPr>
          <w:rFonts w:ascii="Montserrat" w:cs="Montserrat" w:eastAsia="Montserrat" w:hAnsi="Montserrat"/>
          <w:color w:val="ff0000"/>
          <w:sz w:val="20"/>
          <w:szCs w:val="20"/>
        </w:rPr>
      </w:pPr>
      <w:bookmarkStart w:colFirst="0" w:colLast="0" w:name="_uqler7m8cngf" w:id="2"/>
      <w:bookmarkEnd w:id="2"/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Senado Federal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shd w:fill="ffffff" w:val="clear"/>
        <w:spacing w:before="0"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</w:p>
    <w:p w:rsidR="00000000" w:rsidDel="00000000" w:rsidP="00000000" w:rsidRDefault="00000000" w:rsidRPr="00000000" w14:paraId="00000005">
      <w:pPr>
        <w:keepNext w:val="0"/>
        <w:keepLines w:val="0"/>
        <w:shd w:fill="ffffff" w:val="clear"/>
        <w:spacing w:before="0"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hyperlink r:id="rId38">
        <w:r>
          <w:rPr>
            <w:rFonts w:ascii="Montserrat" w:cs="Montserrat" w:eastAsia="Montserrat" w:hAnsi="Montserrat"/>
            <w:b w:val="1"/>
            <w:bCs w:val="1"/>
            <w:color w:val="ff0000"/>
            <w:sz w:val="20"/>
            <w:szCs w:val="20"/>
          </w:rPr>
          <w:t xml:space="preserve">PL 05235/2026</w:t>
        </w:r>
      </w:hyperlink>
    </w:p>
    <w:p w:rsidR="00000000" w:rsidDel="00000000" w:rsidP="00000000" w:rsidRDefault="00000000" w:rsidRPr="00000000" w14:paraId="00000006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Ementa: </w:t>
      </w:r>
      <w:r>
        <w:rPr>
          <w:rFonts w:ascii="Montserrat" w:hAnsi="Montserrat"/>
          <w:b w:val="0"/>
          <w:color w:val="333333"/>
          <w:sz w:val="20"/>
          <w:u w:val="none"/>
        </w:rPr>
        <w:t>Altera a Lei nº 13.445, de 24 de maio de 2017 (Lei de Migração), e a Lei nº 8.742, de 7 de dezembro de 1993 (Lei Orgânica da Assistência Social), para dispor sobre o acesso de pessoas migrantes, refugiadas e apátridas aos serviços de acolhimento do Sistema Único de Assistência Social e para incluir o acolhimento entre os componentes da Política Nacional de Migrações, Refúgio e Apatridia.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Autor: </w:t>
      </w:r>
      <w:r>
        <w:rPr>
          <w:rFonts w:ascii="Montserrat" w:hAnsi="Montserrat"/>
          <w:b w:val="0"/>
          <w:color w:val="333333"/>
          <w:sz w:val="20"/>
          <w:u w:val="none"/>
        </w:rPr>
        <w:t>Paulo Paim (PT/RS)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Data de apresentação: </w:t>
      </w:r>
      <w:r>
        <w:rPr>
          <w:rFonts w:ascii="Montserrat" w:hAnsi="Montserrat"/>
          <w:b w:val="0"/>
          <w:color w:val="333333"/>
          <w:sz w:val="20"/>
          <w:u w:val="none"/>
        </w:rPr>
        <w:t>31/08/2026</w:t>
      </w:r>
    </w:p>
    <w:sectPr>
      <w:headerReference r:id="rId27" w:type="default"/>
      <w:footerReference r:id="rId28" w:type="default"/>
      <w:pgSz w:h="16850" w:w="11910" w:orient="portrait"/>
      <w:pgMar w:bottom="1133.8582677165355" w:top="2267.716535433071" w:left="1133.8582677165355" w:right="1133.8582677165355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shd w:fill="ffffff" w:val="clear"/>
      <w:spacing w:after="220" w:before="0" w:line="360" w:lineRule="auto"/>
      <w:ind w:left="-20" w:right="-20" w:firstLine="0"/>
      <w:rPr>
        <w:rFonts w:ascii="Montserrat" w:cs="Montserrat" w:eastAsia="Montserrat" w:hAnsi="Montserrat"/>
        <w:color w:val="333333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3810000</wp:posOffset>
              </wp:positionH>
              <wp:positionV relativeFrom="paragraph">
                <wp:posOffset>-228599</wp:posOffset>
              </wp:positionV>
              <wp:extent cx="3037612" cy="1074587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3643550" y="3182475"/>
                        <a:ext cx="3037612" cy="1074587"/>
                        <a:chOff x="3643550" y="3182475"/>
                        <a:chExt cx="3404900" cy="1195050"/>
                      </a:xfrm>
                    </wpg:grpSpPr>
                    <wpg:grpSp>
                      <wpg:cNvGrpSpPr/>
                      <wpg:grpSpPr>
                        <a:xfrm>
                          <a:off x="3643565" y="3182488"/>
                          <a:ext cx="3404870" cy="1195024"/>
                          <a:chOff x="3643575" y="3187125"/>
                          <a:chExt cx="3404925" cy="11855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3643575" y="3187125"/>
                            <a:ext cx="3404925" cy="118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3643597" y="3187145"/>
                            <a:ext cx="3404900" cy="1185509"/>
                            <a:chOff x="3643550" y="3191950"/>
                            <a:chExt cx="3404900" cy="11761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3643550" y="3191950"/>
                              <a:ext cx="3404900" cy="1176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643565" y="3191973"/>
                              <a:ext cx="3404870" cy="1176055"/>
                              <a:chOff x="3643550" y="3197050"/>
                              <a:chExt cx="3404900" cy="11659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3643550" y="3197050"/>
                                <a:ext cx="3404900" cy="1165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3643565" y="3197070"/>
                                <a:ext cx="3404870" cy="1165860"/>
                                <a:chOff x="0" y="0"/>
                                <a:chExt cx="3404870" cy="116586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0"/>
                                  <a:ext cx="3404850" cy="1165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0" y="0"/>
                                  <a:ext cx="3404870" cy="1165860"/>
                                </a:xfrm>
                                <a:custGeom>
                                  <a:rect b="b" l="l" r="r" t="t"/>
                                  <a:pathLst>
                                    <a:path extrusionOk="0" h="1165860" w="3404870">
                                      <a:moveTo>
                                        <a:pt x="3404395" y="1165493"/>
                                      </a:moveTo>
                                      <a:lnTo>
                                        <a:pt x="0" y="116549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404395" y="0"/>
                                      </a:lnTo>
                                      <a:lnTo>
                                        <a:pt x="3404395" y="11654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0000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0" y="0"/>
                                  <a:ext cx="3404870" cy="11658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Montserrat" w:cs="Montserrat" w:eastAsia="Montserrat" w:hAnsi="Montserrat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ffffff"/>
                                        <w:sz w:val="22"/>
                                        <w:vertAlign w:val="baseline"/>
                                      </w:rPr>
                                      <w:t xml:space="preserve">Novas Proposições</w:t>
                                    </w: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3810000</wp:posOffset>
              </wp:positionH>
              <wp:positionV relativeFrom="paragraph">
                <wp:posOffset>-228599</wp:posOffset>
              </wp:positionV>
              <wp:extent cx="3037612" cy="1074587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37612" cy="107458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4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881925</wp:posOffset>
          </wp:positionH>
          <wp:positionV relativeFrom="page">
            <wp:posOffset>214313</wp:posOffset>
          </wp:positionV>
          <wp:extent cx="2023817" cy="85725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23817" cy="857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pt-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64"/>
    </w:pPr>
    <w:rPr>
      <w:rFonts w:ascii="Tahoma" w:cs="Tahoma" w:eastAsia="Tahoma" w:hAnsi="Tahoma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spacing w:before="39" w:lineRule="auto"/>
      <w:ind w:left="164"/>
    </w:pPr>
    <w:rPr>
      <w:rFonts w:ascii="Verdana" w:cs="Verdana" w:eastAsia="Verdana" w:hAnsi="Verdana"/>
      <w:sz w:val="24"/>
      <w:szCs w:val="24"/>
    </w:rPr>
  </w:style>
  <w:style w:type="paragraph" w:styleId="Heading3">
    <w:name w:val="heading 3"/>
    <w:basedOn w:val="Normal"/>
    <w:next w:val="Normal"/>
    <w:pPr>
      <w:ind w:left="164"/>
    </w:pPr>
    <w:rPr>
      <w:rFonts w:ascii="Tahoma" w:cs="Tahoma" w:eastAsia="Tahoma" w:hAnsi="Tahoma"/>
      <w:b w:val="1"/>
      <w:bCs w:val="1"/>
      <w:sz w:val="20"/>
      <w:szCs w:val="20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right="391"/>
      <w:jc w:val="center"/>
    </w:pPr>
    <w:rPr>
      <w:rFonts w:ascii="Tahoma" w:cs="Tahoma" w:eastAsia="Tahoma" w:hAnsi="Tahoma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yperlink" Target="https://www.camara.leg.br/proposicoesWeb/fichadetramitacao?idProposicao=2602837" TargetMode="External"/><Relationship Id="rId22" Type="http://schemas.openxmlformats.org/officeDocument/2006/relationships/hyperlink" Target="https://www.camara.leg.br/proposicoesWeb/fichadetramitacao?idProposicao=2602923" TargetMode="External"/><Relationship Id="rId21" Type="http://schemas.openxmlformats.org/officeDocument/2006/relationships/hyperlink" Target="https://www.camara.leg.br/proposicoesWeb/fichadetramitacao?idProposicao=2602733" TargetMode="External"/><Relationship Id="rId24" Type="http://schemas.openxmlformats.org/officeDocument/2006/relationships/hyperlink" Target="https://www.camara.leg.br/proposicoesWeb/fichadetramitacao?idProposicao=2602956" TargetMode="External"/><Relationship Id="rId23" Type="http://schemas.openxmlformats.org/officeDocument/2006/relationships/hyperlink" Target="https://www.camara.leg.br/proposicoesWeb/fichadetramitacao?idProposicao=260293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amara.leg.br/proposicoesWeb/fichadetramitacao?idProposicao=2601972" TargetMode="External"/><Relationship Id="rId26" Type="http://schemas.openxmlformats.org/officeDocument/2006/relationships/hyperlink" Target="https://www25.senado.leg.br/web/atividade/materias/-/materia/172675" TargetMode="External"/><Relationship Id="rId25" Type="http://schemas.openxmlformats.org/officeDocument/2006/relationships/hyperlink" Target="https://www.camara.leg.br/proposicoesWeb/fichadetramitacao?idProposicao=2602962" TargetMode="External"/><Relationship Id="rId28" Type="http://schemas.openxmlformats.org/officeDocument/2006/relationships/footer" Target="footer1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camara.leg.br/proposicoesWeb/fichadetramitacao?idProposicao=2601495" TargetMode="External"/><Relationship Id="rId8" Type="http://schemas.openxmlformats.org/officeDocument/2006/relationships/hyperlink" Target="https://www.camara.leg.br/proposicoesWeb/fichadetramitacao?idProposicao=2601702" TargetMode="External"/><Relationship Id="rId11" Type="http://schemas.openxmlformats.org/officeDocument/2006/relationships/hyperlink" Target="https://www.camara.leg.br/proposicoesWeb/fichadetramitacao?idProposicao=2602175" TargetMode="External"/><Relationship Id="rId10" Type="http://schemas.openxmlformats.org/officeDocument/2006/relationships/hyperlink" Target="https://www.camara.leg.br/proposicoesWeb/fichadetramitacao?idProposicao=2602072" TargetMode="External"/><Relationship Id="rId13" Type="http://schemas.openxmlformats.org/officeDocument/2006/relationships/hyperlink" Target="https://www.camara.leg.br/proposicoesWeb/fichadetramitacao?idProposicao=2602306" TargetMode="External"/><Relationship Id="rId12" Type="http://schemas.openxmlformats.org/officeDocument/2006/relationships/hyperlink" Target="https://www.camara.leg.br/proposicoesWeb/fichadetramitacao?idProposicao=2602190" TargetMode="External"/><Relationship Id="rId15" Type="http://schemas.openxmlformats.org/officeDocument/2006/relationships/hyperlink" Target="https://www.camara.leg.br/proposicoesWeb/fichadetramitacao?idProposicao=2602370" TargetMode="External"/><Relationship Id="rId14" Type="http://schemas.openxmlformats.org/officeDocument/2006/relationships/hyperlink" Target="https://www.camara.leg.br/proposicoesWeb/fichadetramitacao?idProposicao=2602342" TargetMode="External"/><Relationship Id="rId17" Type="http://schemas.openxmlformats.org/officeDocument/2006/relationships/hyperlink" Target="https://www.camara.leg.br/proposicoesWeb/fichadetramitacao?idProposicao=2602653" TargetMode="External"/><Relationship Id="rId16" Type="http://schemas.openxmlformats.org/officeDocument/2006/relationships/hyperlink" Target="https://www.camara.leg.br/proposicoesWeb/fichadetramitacao?idProposicao=2602630" TargetMode="External"/><Relationship Id="rId19" Type="http://schemas.openxmlformats.org/officeDocument/2006/relationships/hyperlink" Target="https://www.camara.leg.br/proposicoesWeb/fichadetramitacao?idProposicao=2602712" TargetMode="External"/><Relationship Id="rId18" Type="http://schemas.openxmlformats.org/officeDocument/2006/relationships/hyperlink" Target="https://www.camara.leg.br/proposicoesWeb/fichadetramitacao?idProposicao=2602667" TargetMode="External"/><Relationship Id="rId29" Type="http://schemas.openxmlformats.org/officeDocument/2006/relationships/hyperlink" Target="https://www.camara.leg.br/proposicoesWeb/fichadetramitacao?idProposicao=2644991" TargetMode="External"/><Relationship Id="rId30" Type="http://schemas.openxmlformats.org/officeDocument/2006/relationships/hyperlink" Target="https://www.camara.leg.br/proposicoesWeb/fichadetramitacao?idProposicao=2645042" TargetMode="External"/><Relationship Id="rId31" Type="http://schemas.openxmlformats.org/officeDocument/2006/relationships/hyperlink" Target="https://www.camara.leg.br/proposicoesWeb/fichadetramitacao?idProposicao=2645057" TargetMode="External"/><Relationship Id="rId32" Type="http://schemas.openxmlformats.org/officeDocument/2006/relationships/hyperlink" Target="https://www.camara.leg.br/proposicoesWeb/fichadetramitacao?idProposicao=2645169" TargetMode="External"/><Relationship Id="rId33" Type="http://schemas.openxmlformats.org/officeDocument/2006/relationships/hyperlink" Target="https://www.camara.leg.br/proposicoesWeb/fichadetramitacao?idProposicao=2645220" TargetMode="External"/><Relationship Id="rId34" Type="http://schemas.openxmlformats.org/officeDocument/2006/relationships/hyperlink" Target="https://www.camara.leg.br/proposicoesWeb/fichadetramitacao?idProposicao=2645233" TargetMode="External"/><Relationship Id="rId35" Type="http://schemas.openxmlformats.org/officeDocument/2006/relationships/hyperlink" Target="https://www.camara.leg.br/proposicoesWeb/fichadetramitacao?idProposicao=2645408" TargetMode="External"/><Relationship Id="rId36" Type="http://schemas.openxmlformats.org/officeDocument/2006/relationships/hyperlink" Target="https://www.camara.leg.br/proposicoesWeb/fichadetramitacao?idProposicao=2645563" TargetMode="External"/><Relationship Id="rId37" Type="http://schemas.openxmlformats.org/officeDocument/2006/relationships/hyperlink" Target="https://www.camara.leg.br/proposicoesWeb/fichadetramitacao?idProposicao=2645724" TargetMode="External"/><Relationship Id="rId38" Type="http://schemas.openxmlformats.org/officeDocument/2006/relationships/hyperlink" Target="https://www25.senado.leg.br/web/atividade/materias/-/materia/17561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2025-02-09T00:00:00Z</vt:lpwstr>
  </property>
  <property fmtid="{D5CDD505-2E9C-101B-9397-08002B2CF9AE}" pid="3" name="Creator">
    <vt:lpwstr>Canva</vt:lpwstr>
  </property>
  <property fmtid="{D5CDD505-2E9C-101B-9397-08002B2CF9AE}" pid="4" name="LastSaved">
    <vt:lpwstr>2025-02-09T00:00:00Z</vt:lpwstr>
  </property>
  <property fmtid="{D5CDD505-2E9C-101B-9397-08002B2CF9AE}" pid="5" name="Producer">
    <vt:lpwstr>Canva</vt:lpwstr>
  </property>
</Properties>
</file>