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133.8582677165355" w:right="0" w:firstLine="0"/>
        <w:jc w:val="left"/>
        <w:rPr>
          <w:rFonts w:ascii="Montserrat" w:cs="Montserrat" w:eastAsia="Montserrat" w:hAnsi="Montserrat"/>
          <w:color w:val="ff0000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  <mc:AlternateContent>
          <mc:Choice Requires="wpg">
            <w:drawing>
              <wp:inline distB="0" distT="0" distL="0" distR="0">
                <wp:extent cx="2134870" cy="403894"/>
                <wp:effectExtent b="25400" l="25400" r="25400" t="254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297650" y="3658575"/>
                          <a:ext cx="2096700" cy="379200"/>
                        </a:xfrm>
                        <a:prstGeom prst="rect">
                          <a:avLst/>
                        </a:prstGeom>
                        <a:solidFill>
                          <a:srgbClr val="FE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8.00000190734863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0"/>
                                <w:vertAlign w:val="baseline"/>
                              </w:rPr>
                              <w:t xml:space="preserve">09/02 - 13/02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134870" cy="403894"/>
                <wp:effectExtent b="25400" l="25400" r="25400" t="254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4870" cy="403894"/>
                        </a:xfrm>
                        <a:prstGeom prst="rect"/>
                        <a:ln w="25400">
                          <a:solidFill>
                            <a:srgbClr val="FF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before="0" w:line="360" w:lineRule="auto"/>
        <w:ind w:right="-1.6535433070862382"/>
        <w:rPr>
          <w:rFonts w:ascii="Montserrat" w:cs="Montserrat" w:eastAsia="Montserrat" w:hAnsi="Montserrat"/>
          <w:color w:val="ff0000"/>
        </w:rPr>
      </w:pPr>
      <w:bookmarkStart w:colFirst="0" w:colLast="0" w:name="_npd93ez4zd41" w:id="0"/>
      <w:bookmarkEnd w:id="0"/>
      <w:r w:rsidDel="00000000" w:rsidR="00000000" w:rsidRPr="00000000">
        <w:rPr>
          <w:rFonts w:ascii="Montserrat" w:cs="Montserrat" w:eastAsia="Montserrat" w:hAnsi="Montserrat"/>
          <w:color w:val="fe0000"/>
          <w:rtl w:val="0"/>
        </w:rPr>
        <w:t xml:space="preserve">Câmara dos 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Deputados</w:t>
      </w:r>
    </w:p>
    <w:p w:rsidR="00000000" w:rsidDel="00000000" w:rsidP="00000000" w:rsidRDefault="00000000" w:rsidRPr="00000000" w14:paraId="00000004">
      <w:pPr>
        <w:pStyle w:val="Title"/>
        <w:spacing w:after="0" w:before="0" w:line="360" w:lineRule="auto"/>
        <w:ind w:right="-1.6535433070862382"/>
        <w:rPr>
          <w:rFonts w:ascii="Montserrat" w:cs="Montserrat" w:eastAsia="Montserrat" w:hAnsi="Montserrat"/>
          <w:color w:val="ff0000"/>
          <w:sz w:val="20"/>
          <w:szCs w:val="20"/>
          <w:u w:val="single"/>
        </w:rPr>
      </w:pPr>
      <w:bookmarkStart w:colFirst="0" w:colLast="0" w:name="_fs0ydevggjv0" w:id="1"/>
      <w:bookmarkEnd w:id="1"/>
      <w:r w:rsidDel="00000000" w:rsidR="00000000" w:rsidRPr="00000000">
        <w:rPr>
          <w:rFonts w:ascii="Montserrat" w:cs="Montserrat" w:eastAsia="Montserrat" w:hAnsi="Montserrat"/>
          <w:color w:val="ff0000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shd w:fill="f4cccc" w:val="clear"/>
            <w:rtl w:val="0"/>
          </w:rPr>
          <w:t xml:space="preserve">PL 393/2026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shd w:fill="f4cccc" w:val="clear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Altera a Lei nº 14.601, de 19 de junho de 2023, que institui o Programa Bolsa Família, para excluir, do cálculo da renda familiar per capita mensal utilizada para a concessão de benefícios do programa, o Benefício de Prestação Continuada (BPC), previsto no art. 20 da Lei nº 8.742, de 7 de dezembro de 1993 (Lei Orgânica da Assistência Social), recebido por pessoa com deficiência que necessite de terceiros para a realização das atividades básicas da vida diária, e dispor sobre o benefício complementar nos casos de famílias unipessoais.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Jadyel Alencar - REPUBLIC/PI</w:t>
      </w:r>
    </w:p>
    <w:p w:rsidR="00000000" w:rsidDel="00000000" w:rsidP="00000000" w:rsidRDefault="00000000" w:rsidRPr="00000000" w14:paraId="00000007">
      <w:pPr>
        <w:keepNext w:val="0"/>
        <w:keepLines w:val="0"/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Data de apresentação: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 09/02/2026 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fe0000"/>
          <w:sz w:val="20"/>
          <w:szCs w:val="20"/>
          <w:shd w:fill="d9ead3" w:val="clear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  <w:shd w:fill="d9ead3" w:val="clear"/>
            <w:rtl w:val="0"/>
          </w:rPr>
          <w:t xml:space="preserve">PL 405/2026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d9ead3" w:val="clear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d9ead3" w:val="clear"/>
          <w:rtl w:val="0"/>
        </w:rPr>
        <w:t xml:space="preserve">Institui a Política Nacional de Incentivo ao Empreendedorismo de Mães Atípicas e dá outras providências.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d9ead3" w:val="clear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d9ead3" w:val="clear"/>
          <w:rtl w:val="0"/>
        </w:rPr>
        <w:t xml:space="preserve">Ribeiro Neto - PRD/MA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d9ead3" w:val="clear"/>
          <w:rtl w:val="0"/>
        </w:rPr>
        <w:t xml:space="preserve">Data de apresentação: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d9ead3" w:val="clear"/>
          <w:rtl w:val="0"/>
        </w:rPr>
        <w:t xml:space="preserve">09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d9ead3" w:val="clear"/>
          <w:rtl w:val="0"/>
        </w:rPr>
        <w:t xml:space="preserve">/02/2026</w:t>
      </w:r>
    </w:p>
    <w:p w:rsidR="00000000" w:rsidDel="00000000" w:rsidP="00000000" w:rsidRDefault="00000000" w:rsidRPr="00000000" w14:paraId="0000000D">
      <w:pPr>
        <w:keepNext w:val="0"/>
        <w:keepLines w:val="0"/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hd w:fill="ffffff" w:val="clear"/>
        <w:spacing w:after="0" w:before="0" w:line="360" w:lineRule="auto"/>
        <w:jc w:val="both"/>
        <w:rPr>
          <w:rFonts w:ascii="Montserrat" w:cs="Montserrat" w:eastAsia="Montserrat" w:hAnsi="Montserrat"/>
          <w:color w:val="ff0000"/>
          <w:sz w:val="20"/>
          <w:szCs w:val="20"/>
          <w:u w:val="single"/>
        </w:rPr>
      </w:pPr>
      <w:hyperlink r:id="rId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u w:val="single"/>
            <w:rtl w:val="0"/>
          </w:rPr>
          <w:t xml:space="preserve">PL 432/2026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hd w:fill="ffffff" w:val="clear"/>
        <w:spacing w:after="0"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Dispõe sobre a obrigatoriedade de divulgação do serviço Disque 100 em notícias e informações relativas à violência contra crianças e adolescentes veiculadas em qualquer meio de comunicação e dá outras providências.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Heloísa Helena - REDE/RJ, Túlio Gadêlha - REDE/PE</w:t>
      </w:r>
    </w:p>
    <w:p w:rsidR="00000000" w:rsidDel="00000000" w:rsidP="00000000" w:rsidRDefault="00000000" w:rsidRPr="00000000" w14:paraId="00000011">
      <w:pPr>
        <w:keepNext w:val="0"/>
        <w:keepLines w:val="0"/>
        <w:shd w:fill="ffffff" w:val="clear"/>
        <w:spacing w:after="0"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 de apresentação: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0/02/2026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hyperlink r:id="rId1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u w:val="single"/>
            <w:rtl w:val="0"/>
          </w:rPr>
          <w:t xml:space="preserve">PL 435/2026</w:t>
        </w:r>
      </w:hyperlink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u w:val="single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Acrescenta o art. 88-A à Lei n.º 13.146, de 6 de julho de 2015 (Estatuto da Pessoa com Deficiência), para criminalizar a recusa injustificada à permanência de acompanhante ou atendente pessoal de pessoa com deficiência durante internação ou observação em unidade de saúde.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Roberto Monteiro Pai - PL/RJ</w:t>
      </w:r>
    </w:p>
    <w:p w:rsidR="00000000" w:rsidDel="00000000" w:rsidP="00000000" w:rsidRDefault="00000000" w:rsidRPr="00000000" w14:paraId="00000015">
      <w:pPr>
        <w:shd w:fill="ffffff" w:val="clear"/>
        <w:spacing w:after="22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 de apresentação: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10/02/2026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hyperlink r:id="rId1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u w:val="single"/>
            <w:rtl w:val="0"/>
          </w:rPr>
          <w:t xml:space="preserve">PL 441/2026</w:t>
        </w:r>
      </w:hyperlink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Altera a Lei nº 10.826, de 22 de dezembro de 2003 (Estatuto do Desarmamento), e a Lei nº 11.340, de 7 de agosto de 2006 (Lei Maria da Penha), para estabelecer a suspensão automática da posse e do porte de arma de fogo em casos de concessão de medida protetiva de urgência decorrente de violência doméstica e familiar contra a mulher.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Defensor Stélio Dener - REPUBLIC/RR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 de apresentação: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10/02/2026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u w:val="single"/>
          <w:shd w:fill="f4cccc" w:val="clear"/>
        </w:rPr>
      </w:pPr>
      <w:hyperlink r:id="rId1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u w:val="single"/>
            <w:shd w:fill="f4cccc" w:val="clear"/>
            <w:rtl w:val="0"/>
          </w:rPr>
          <w:t xml:space="preserve">PL 444/2026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Altera a Lei nº 11.124, de 16 de junho de 2005 (SNHIS/FNHIS), e a Lei nº 8.742, de 7 de dezembro de 1993 (LOAS), para reconhecer expressamente mães e cuidadores atípicos como público prioritário nas ações de locação social (aluguel social) e em benefícios eventuais e serviços socioassistenciais, institui diretrizes de proteção social integrada para esse público e dá outras providências.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Ricardo Abrão - UNIÃO/RJ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Data de apresentação: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10/02/2026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b w:val="1"/>
          <w:bCs w:val="1"/>
          <w:color w:val="ff0000"/>
          <w:sz w:val="20"/>
          <w:szCs w:val="20"/>
          <w:u w:val="single"/>
        </w:rPr>
      </w:pPr>
      <w:hyperlink r:id="rId1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u w:val="single"/>
            <w:rtl w:val="0"/>
          </w:rPr>
          <w:t xml:space="preserve">PL 457/2026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Altera a Lei nº 8.069, de 13 de julho de 1990 (Estatuto da Criança e do Adolescente), para explicitar a aplicação do regime de autorização judicial às atividades de criação de conteúdo digital com finalidade econômica realizadas por crianças e adolescentes.</w:t>
      </w:r>
    </w:p>
    <w:p w:rsidR="00000000" w:rsidDel="00000000" w:rsidP="00000000" w:rsidRDefault="00000000" w:rsidRPr="00000000" w14:paraId="00000020">
      <w:pPr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Raimundo Santos - PSD/PA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 de apresentação: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10/02/2026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hyperlink r:id="rId1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u w:val="single"/>
            <w:rtl w:val="0"/>
          </w:rPr>
          <w:t xml:space="preserve">PL 462/2026</w:t>
        </w:r>
      </w:hyperlink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Institui o Sistema Nacional de Prevenção à Violência Juvenil – SINAPREV-Jovem</w:t>
      </w:r>
    </w:p>
    <w:p w:rsidR="00000000" w:rsidDel="00000000" w:rsidP="00000000" w:rsidRDefault="00000000" w:rsidRPr="00000000" w14:paraId="00000024">
      <w:pPr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Duarte Jr. - PSB/MA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 de apresentação: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10/02/2026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hyperlink r:id="rId1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u w:val="single"/>
            <w:rtl w:val="0"/>
          </w:rPr>
          <w:t xml:space="preserve">PL 464/2026</w:t>
        </w:r>
      </w:hyperlink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Altera a Lei nº 10.406, de 10 de janeiro de 2002 (Código Civil) e a Lei nº 10.741, de 1º de outubro de 2003 (Estatuto da Pessoa Idosa) para dispor sobre a responsabilização por interdição abusiva.</w:t>
      </w:r>
    </w:p>
    <w:p w:rsidR="00000000" w:rsidDel="00000000" w:rsidP="00000000" w:rsidRDefault="00000000" w:rsidRPr="00000000" w14:paraId="00000028">
      <w:pPr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Eriberto Medeiros - PSB/PE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 de apresentação: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11/02/2026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b w:val="1"/>
          <w:bCs w:val="1"/>
          <w:color w:val="ff0000"/>
          <w:sz w:val="20"/>
          <w:szCs w:val="20"/>
          <w:u w:val="single"/>
          <w:shd w:fill="f4cccc" w:val="clear"/>
        </w:rPr>
      </w:pPr>
      <w:hyperlink r:id="rId1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u w:val="single"/>
            <w:shd w:fill="f4cccc" w:val="clear"/>
            <w:rtl w:val="0"/>
          </w:rPr>
          <w:t xml:space="preserve">PL 501/2026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Ementa: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 Cria o Programa Nacional de Vacinas de Alto Impacto em Adultos e Idosos- PNVAI, no âmbito do Sistema Único de Saúde – SUS, e dá outras providências.</w:t>
      </w:r>
    </w:p>
    <w:p w:rsidR="00000000" w:rsidDel="00000000" w:rsidP="00000000" w:rsidRDefault="00000000" w:rsidRPr="00000000" w14:paraId="0000002E">
      <w:pPr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Luiz Carlos Hauly - PODE/PR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Data de apresentação: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11/02/2026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ind w:left="-20" w:right="-20" w:firstLine="0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hyperlink r:id="rId1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  <w:rtl w:val="0"/>
          </w:rPr>
          <w:t xml:space="preserve">PL 503/2026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Institui o Marco Nacional de Proteção, Desburocratização e Apoio Integral às Mães Atípicas. </w:t>
      </w:r>
    </w:p>
    <w:p w:rsidR="00000000" w:rsidDel="00000000" w:rsidP="00000000" w:rsidRDefault="00000000" w:rsidRPr="00000000" w14:paraId="00000033">
      <w:pPr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Duarte Jr. - PSB/MA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 de apresentação: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11/02/2026</w:t>
      </w:r>
    </w:p>
    <w:p w:rsidR="00000000" w:rsidDel="00000000" w:rsidP="00000000" w:rsidRDefault="00000000" w:rsidRPr="00000000" w14:paraId="00000035">
      <w:pPr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b w:val="1"/>
          <w:bCs w:val="1"/>
          <w:color w:val="ff0000"/>
          <w:sz w:val="20"/>
          <w:szCs w:val="20"/>
          <w:shd w:fill="f4cccc" w:val="clear"/>
        </w:rPr>
      </w:pPr>
      <w:hyperlink r:id="rId1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shd w:fill="f4cccc" w:val="clear"/>
            <w:rtl w:val="0"/>
          </w:rPr>
          <w:t xml:space="preserve">PL 508/2026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Ementa: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 Estabelece regra de priorização orçamentária para ações federais de educação infantil, de alfabetização e dos anos iniciais do ensino fundamental.</w:t>
      </w:r>
    </w:p>
    <w:p w:rsidR="00000000" w:rsidDel="00000000" w:rsidP="00000000" w:rsidRDefault="00000000" w:rsidRPr="00000000" w14:paraId="00000038">
      <w:pPr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Nikolas Ferreira - PL/MG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Data de apresentação: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11/02/2026</w:t>
      </w:r>
    </w:p>
    <w:p w:rsidR="00000000" w:rsidDel="00000000" w:rsidP="00000000" w:rsidRDefault="00000000" w:rsidRPr="00000000" w14:paraId="0000003A">
      <w:pPr>
        <w:shd w:fill="ffffff" w:val="clear"/>
        <w:spacing w:after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hyperlink r:id="rId1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shd w:fill="f4cccc" w:val="clear"/>
            <w:rtl w:val="0"/>
          </w:rPr>
          <w:t xml:space="preserve">PL 518/2026</w:t>
        </w:r>
      </w:hyperlink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Altera o Estatuto da Pessoa Idosa para prever o benefício mensal de, no mínimo, 3 (três) salários mínimos para as aposentadorias ou pensões das pessoas com de 65 anos ou mais, a serem pagos pelo regime geral da Previdência Social.</w:t>
      </w:r>
    </w:p>
    <w:p w:rsidR="00000000" w:rsidDel="00000000" w:rsidP="00000000" w:rsidRDefault="00000000" w:rsidRPr="00000000" w14:paraId="0000003C">
      <w:pPr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Renata Abreu - PODE/SP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Data de apresentação: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 11/02/2026 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hyperlink r:id="rId2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shd w:fill="f4cccc" w:val="clear"/>
            <w:rtl w:val="0"/>
          </w:rPr>
          <w:t xml:space="preserve">PL 531/2026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0"/>
          <w:szCs w:val="20"/>
          <w:shd w:fill="f4cccc" w:val="clear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Ementa: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 Institui a Política Nacional de Proteção ao Idoso em Situação de Solidão Social, cria mecanismos de prevenção ao isolamento extremo e dá outras providências.</w:t>
      </w:r>
    </w:p>
    <w:p w:rsidR="00000000" w:rsidDel="00000000" w:rsidP="00000000" w:rsidRDefault="00000000" w:rsidRPr="00000000" w14:paraId="00000040">
      <w:pPr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Hercílio Coelho Diniz - MDB/MG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Data de apresentação: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12/02/2026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d9ead3" w:val="clear"/>
        </w:rPr>
      </w:pPr>
      <w:hyperlink r:id="rId2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  <w:shd w:fill="d9ead3" w:val="clear"/>
            <w:rtl w:val="0"/>
          </w:rPr>
          <w:t xml:space="preserve">PL 524/2026</w:t>
        </w:r>
      </w:hyperlink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d9ead3" w:val="clear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d9ead3" w:val="clear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d9ead3" w:val="clear"/>
          <w:rtl w:val="0"/>
        </w:rPr>
        <w:t xml:space="preserve">Altera a Lei Complementar nº 123, de 14 de dezembro de 2006, para permitir a dedução de doações aos Fundos dos Direitos da Criança e do Adolescente (FDCA) pelas microempresas e empresas de pequeno porte optantes pelo Simples 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d9ead3" w:val="clear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d9ead3" w:val="clear"/>
          <w:rtl w:val="0"/>
        </w:rPr>
        <w:t xml:space="preserve">Renata Abreu - PODE/SP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d9ead3" w:val="clear"/>
          <w:rtl w:val="0"/>
        </w:rPr>
        <w:t xml:space="preserve">Data de apresentação: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d9ead3" w:val="clear"/>
          <w:rtl w:val="0"/>
        </w:rPr>
        <w:t xml:space="preserve"> 11/02/2026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hyperlink r:id="rId2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u w:val="single"/>
            <w:rtl w:val="0"/>
          </w:rPr>
          <w:t xml:space="preserve">PL 541/2026</w:t>
        </w:r>
      </w:hyperlink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u w:val="single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Altera a Consolidação das Leis do Trabalho para garantir a possibilidade de o empregado se ausentar do serviço, sem prejuízo do salário, para acompanhar parente idoso ou com deficiência em consulta médica ou odontológica.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Lenir de Assis - PT/PR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 de apresentação: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12/02/2026</w:t>
      </w:r>
    </w:p>
    <w:p w:rsidR="00000000" w:rsidDel="00000000" w:rsidP="00000000" w:rsidRDefault="00000000" w:rsidRPr="00000000" w14:paraId="0000004A">
      <w:pPr>
        <w:shd w:fill="ffffff" w:val="clear"/>
        <w:spacing w:after="22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2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b w:val="1"/>
          <w:bCs w:val="1"/>
          <w:color w:val="ff0000"/>
          <w:sz w:val="20"/>
          <w:szCs w:val="20"/>
        </w:rPr>
      </w:pPr>
      <w:hyperlink r:id="rId2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rtl w:val="0"/>
          </w:rPr>
          <w:t xml:space="preserve">PL 543/2026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Nikolas Ferreira - PL/MG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Institui o Selo Nacional de Excelência em Literacia Familiar, estabelecendo regras para a seleção e premiação de programas municipais de literacia familiar em etapas estaduais, regionais e nacional.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 de apresentação: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12/02/2026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hyperlink r:id="rId2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shd w:fill="f4cccc" w:val="clear"/>
            <w:rtl w:val="0"/>
          </w:rPr>
          <w:t xml:space="preserve">PL 557/2026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Altera a Lei nº 10.741, de 1º de outubro de 2003 (Estatuto da Pessoa Idosa), para assegurar assistência adequada à pessoa idosa nos atendimentos realizados por meios digitais no âmbito da administração publica.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Julio Cesar Ribeiro - REPUBLIC/DF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Data de apresentação: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 12/02/2026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hyperlink r:id="rId2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shd w:fill="f4cccc" w:val="clear"/>
            <w:rtl w:val="0"/>
          </w:rPr>
          <w:t xml:space="preserve">PL 558/2026</w:t>
        </w:r>
      </w:hyperlink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Altera a Lei nº 10.741, de 1º de outubro de 2003 (Estatuto da Pessoa Idosa), para assegurar igualdade material de condições à pessoa idosa em concursos públicos, exames e processos de habilitação profissional.</w:t>
      </w:r>
    </w:p>
    <w:p w:rsidR="00000000" w:rsidDel="00000000" w:rsidP="00000000" w:rsidRDefault="00000000" w:rsidRPr="00000000" w14:paraId="00000056">
      <w:pPr>
        <w:shd w:fill="ffffff" w:val="clear"/>
        <w:spacing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Julio Cesar Ribeiro - REPUBLIC/DF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shd w:fill="f4cccc" w:val="clear"/>
          <w:rtl w:val="0"/>
        </w:rPr>
        <w:t xml:space="preserve">Data de apresentação: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shd w:fill="f4cccc" w:val="clear"/>
          <w:rtl w:val="0"/>
        </w:rPr>
        <w:t xml:space="preserve">12/02/2026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before="0" w:line="360" w:lineRule="auto"/>
        <w:ind w:left="-2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spacing w:before="0" w:line="360" w:lineRule="auto"/>
        <w:ind w:right="-1.6535433070862382"/>
        <w:rPr>
          <w:rFonts w:ascii="Montserrat" w:cs="Montserrat" w:eastAsia="Montserrat" w:hAnsi="Montserrat"/>
          <w:color w:val="ff0000"/>
          <w:sz w:val="20"/>
          <w:szCs w:val="20"/>
        </w:rPr>
      </w:pPr>
      <w:bookmarkStart w:colFirst="0" w:colLast="0" w:name="_uqler7m8cngf" w:id="2"/>
      <w:bookmarkEnd w:id="2"/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Senado Federal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before="0" w:line="360" w:lineRule="auto"/>
        <w:ind w:left="0" w:right="160" w:firstLine="0"/>
        <w:jc w:val="both"/>
        <w:rPr>
          <w:rFonts w:ascii="Montserrat" w:cs="Montserrat" w:eastAsia="Montserrat" w:hAnsi="Montserrat"/>
          <w:b w:val="1"/>
          <w:bCs w:val="1"/>
          <w:color w:val="ff0000"/>
          <w:sz w:val="20"/>
          <w:szCs w:val="20"/>
        </w:rPr>
      </w:pPr>
      <w:hyperlink r:id="rId2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  <w:rtl w:val="0"/>
          </w:rPr>
          <w:t xml:space="preserve">PL 555/2026</w:t>
        </w:r>
      </w:hyperlink>
      <w:r w:rsidDel="00000000" w:rsidR="00000000" w:rsidRPr="00000000">
        <w:fldChar w:fldCharType="begin"/>
        <w:instrText xml:space="preserve"> HYPERLINK "https://www.congressonacional.leg.br/materias/materias-bicamerais/-/ver/pl-555-2026"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before="0" w:line="360" w:lineRule="auto"/>
        <w:ind w:left="0" w:right="16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Altera o Decreto-Lei nº 2.848, de 7 de dezembro de 1940 – Código Penal, para agravar a pena dos crimes de homicídio e de lesão corporal praticados contra criança ou adolescente (Lei Rodrigo Castanheira)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="360" w:lineRule="auto"/>
        <w:ind w:left="0" w:right="16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Senadora Damares Alves (REPUBLICANOS/DF)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="360" w:lineRule="auto"/>
        <w:ind w:left="0" w:right="160" w:firstLine="0"/>
        <w:jc w:val="left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 de apresentação: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12/02/2026</w:t>
      </w:r>
    </w:p>
    <w:p w:rsidR="00000000" w:rsidDel="00000000" w:rsidP="00000000" w:rsidRDefault="00000000" w:rsidRPr="00000000" w14:paraId="00000061">
      <w:pPr>
        <w:shd w:fill="ffffff" w:val="clear"/>
        <w:spacing w:after="160" w:before="160" w:line="360" w:lineRule="auto"/>
        <w:ind w:left="0" w:right="160" w:firstLine="0"/>
        <w:jc w:val="left"/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before="0" w:line="360" w:lineRule="auto"/>
        <w:ind w:right="160"/>
        <w:rPr>
          <w:rFonts w:ascii="Montserrat" w:cs="Montserrat" w:eastAsia="Montserrat" w:hAnsi="Montserrat"/>
          <w:b w:val="1"/>
          <w:bCs w:val="1"/>
          <w:color w:val="363636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6850" w:w="11910" w:orient="portrait"/>
      <w:pgMar w:bottom="1133.8582677165355" w:top="2267.716535433071" w:left="1133.8582677165355" w:right="1133.858267716535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shd w:fill="ffffff" w:val="clear"/>
      <w:spacing w:after="220" w:before="0" w:line="360" w:lineRule="auto"/>
      <w:ind w:left="-20" w:right="-20" w:firstLine="0"/>
      <w:rPr>
        <w:rFonts w:ascii="Montserrat" w:cs="Montserrat" w:eastAsia="Montserrat" w:hAnsi="Montserrat"/>
        <w:color w:val="333333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3810000</wp:posOffset>
              </wp:positionH>
              <wp:positionV relativeFrom="paragraph">
                <wp:posOffset>-228599</wp:posOffset>
              </wp:positionV>
              <wp:extent cx="3037612" cy="1074587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643550" y="3182475"/>
                        <a:ext cx="3037612" cy="1074587"/>
                        <a:chOff x="3643550" y="3182475"/>
                        <a:chExt cx="3404900" cy="1195050"/>
                      </a:xfrm>
                    </wpg:grpSpPr>
                    <wpg:grpSp>
                      <wpg:cNvGrpSpPr/>
                      <wpg:grpSpPr>
                        <a:xfrm>
                          <a:off x="3643565" y="3182488"/>
                          <a:ext cx="3404870" cy="1195024"/>
                          <a:chOff x="3643575" y="3187125"/>
                          <a:chExt cx="3404925" cy="11855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643575" y="3187125"/>
                            <a:ext cx="3404925" cy="118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3643597" y="3187145"/>
                            <a:ext cx="3404900" cy="1185509"/>
                            <a:chOff x="3643550" y="3191950"/>
                            <a:chExt cx="3404900" cy="11761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3643550" y="3191950"/>
                              <a:ext cx="3404900" cy="1176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643565" y="3191973"/>
                              <a:ext cx="3404870" cy="1176055"/>
                              <a:chOff x="3643550" y="3197050"/>
                              <a:chExt cx="3404900" cy="11659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3643550" y="3197050"/>
                                <a:ext cx="3404900" cy="116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643565" y="3197070"/>
                                <a:ext cx="3404870" cy="1165860"/>
                                <a:chOff x="0" y="0"/>
                                <a:chExt cx="3404870" cy="116586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3404850" cy="1165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0"/>
                                  <a:ext cx="3404870" cy="1165860"/>
                                </a:xfrm>
                                <a:custGeom>
                                  <a:rect b="b" l="l" r="r" t="t"/>
                                  <a:pathLst>
                                    <a:path extrusionOk="0" h="1165860" w="3404870">
                                      <a:moveTo>
                                        <a:pt x="3404395" y="1165493"/>
                                      </a:moveTo>
                                      <a:lnTo>
                                        <a:pt x="0" y="116549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404395" y="0"/>
                                      </a:lnTo>
                                      <a:lnTo>
                                        <a:pt x="3404395" y="11654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0000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0"/>
                                  <a:ext cx="3404870" cy="11658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Montserrat" w:cs="Montserrat" w:eastAsia="Montserrat" w:hAnsi="Montserrat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22"/>
                                        <w:vertAlign w:val="baseline"/>
                                      </w:rPr>
                                      <w:t xml:space="preserve">Novas Proposições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3810000</wp:posOffset>
              </wp:positionH>
              <wp:positionV relativeFrom="paragraph">
                <wp:posOffset>-228599</wp:posOffset>
              </wp:positionV>
              <wp:extent cx="3037612" cy="1074587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37612" cy="107458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4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881925</wp:posOffset>
          </wp:positionH>
          <wp:positionV relativeFrom="page">
            <wp:posOffset>214313</wp:posOffset>
          </wp:positionV>
          <wp:extent cx="2023817" cy="85725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3817" cy="857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pt-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64"/>
    </w:pPr>
    <w:rPr>
      <w:rFonts w:ascii="Tahoma" w:cs="Tahoma" w:eastAsia="Tahoma" w:hAnsi="Tahom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39" w:lineRule="auto"/>
      <w:ind w:left="164"/>
    </w:pPr>
    <w:rPr>
      <w:rFonts w:ascii="Verdana" w:cs="Verdana" w:eastAsia="Verdana" w:hAnsi="Verdana"/>
      <w:sz w:val="24"/>
      <w:szCs w:val="24"/>
    </w:rPr>
  </w:style>
  <w:style w:type="paragraph" w:styleId="Heading3">
    <w:name w:val="heading 3"/>
    <w:basedOn w:val="Normal"/>
    <w:next w:val="Normal"/>
    <w:pPr>
      <w:ind w:left="164"/>
    </w:pPr>
    <w:rPr>
      <w:rFonts w:ascii="Tahoma" w:cs="Tahoma" w:eastAsia="Tahoma" w:hAnsi="Tahoma"/>
      <w:b w:val="1"/>
      <w:bCs w:val="1"/>
      <w:sz w:val="20"/>
      <w:szCs w:val="20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right="391"/>
      <w:jc w:val="center"/>
    </w:pPr>
    <w:rPr>
      <w:rFonts w:ascii="Tahoma" w:cs="Tahoma" w:eastAsia="Tahoma" w:hAnsi="Tahoma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amara.leg.br/proposicoesWeb/fichadetramitacao?idProposicao=2602837" TargetMode="External"/><Relationship Id="rId22" Type="http://schemas.openxmlformats.org/officeDocument/2006/relationships/hyperlink" Target="https://www.camara.leg.br/proposicoesWeb/fichadetramitacao?idProposicao=2602923" TargetMode="External"/><Relationship Id="rId21" Type="http://schemas.openxmlformats.org/officeDocument/2006/relationships/hyperlink" Target="https://www.camara.leg.br/proposicoesWeb/fichadetramitacao?idProposicao=2602733" TargetMode="External"/><Relationship Id="rId24" Type="http://schemas.openxmlformats.org/officeDocument/2006/relationships/hyperlink" Target="https://www.camara.leg.br/proposicoesWeb/fichadetramitacao?idProposicao=2602956" TargetMode="External"/><Relationship Id="rId23" Type="http://schemas.openxmlformats.org/officeDocument/2006/relationships/hyperlink" Target="https://www.camara.leg.br/proposicoesWeb/fichadetramitacao?idProposicao=260293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mara.leg.br/proposicoesWeb/fichadetramitacao?idProposicao=2601972" TargetMode="External"/><Relationship Id="rId26" Type="http://schemas.openxmlformats.org/officeDocument/2006/relationships/hyperlink" Target="https://www25.senado.leg.br/web/atividade/materias/-/materia/172675" TargetMode="External"/><Relationship Id="rId25" Type="http://schemas.openxmlformats.org/officeDocument/2006/relationships/hyperlink" Target="https://www.camara.leg.br/proposicoesWeb/fichadetramitacao?idProposicao=2602962" TargetMode="External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camara.leg.br/proposicoesWeb/fichadetramitacao?idProposicao=2601495" TargetMode="External"/><Relationship Id="rId8" Type="http://schemas.openxmlformats.org/officeDocument/2006/relationships/hyperlink" Target="https://www.camara.leg.br/proposicoesWeb/fichadetramitacao?idProposicao=2601702" TargetMode="External"/><Relationship Id="rId11" Type="http://schemas.openxmlformats.org/officeDocument/2006/relationships/hyperlink" Target="https://www.camara.leg.br/proposicoesWeb/fichadetramitacao?idProposicao=2602175" TargetMode="External"/><Relationship Id="rId10" Type="http://schemas.openxmlformats.org/officeDocument/2006/relationships/hyperlink" Target="https://www.camara.leg.br/proposicoesWeb/fichadetramitacao?idProposicao=2602072" TargetMode="External"/><Relationship Id="rId13" Type="http://schemas.openxmlformats.org/officeDocument/2006/relationships/hyperlink" Target="https://www.camara.leg.br/proposicoesWeb/fichadetramitacao?idProposicao=2602306" TargetMode="External"/><Relationship Id="rId12" Type="http://schemas.openxmlformats.org/officeDocument/2006/relationships/hyperlink" Target="https://www.camara.leg.br/proposicoesWeb/fichadetramitacao?idProposicao=2602190" TargetMode="External"/><Relationship Id="rId15" Type="http://schemas.openxmlformats.org/officeDocument/2006/relationships/hyperlink" Target="https://www.camara.leg.br/proposicoesWeb/fichadetramitacao?idProposicao=2602370" TargetMode="External"/><Relationship Id="rId14" Type="http://schemas.openxmlformats.org/officeDocument/2006/relationships/hyperlink" Target="https://www.camara.leg.br/proposicoesWeb/fichadetramitacao?idProposicao=2602342" TargetMode="External"/><Relationship Id="rId17" Type="http://schemas.openxmlformats.org/officeDocument/2006/relationships/hyperlink" Target="https://www.camara.leg.br/proposicoesWeb/fichadetramitacao?idProposicao=2602653" TargetMode="External"/><Relationship Id="rId16" Type="http://schemas.openxmlformats.org/officeDocument/2006/relationships/hyperlink" Target="https://www.camara.leg.br/proposicoesWeb/fichadetramitacao?idProposicao=2602630" TargetMode="External"/><Relationship Id="rId19" Type="http://schemas.openxmlformats.org/officeDocument/2006/relationships/hyperlink" Target="https://www.camara.leg.br/proposicoesWeb/fichadetramitacao?idProposicao=2602712" TargetMode="External"/><Relationship Id="rId18" Type="http://schemas.openxmlformats.org/officeDocument/2006/relationships/hyperlink" Target="https://www.camara.leg.br/proposicoesWeb/fichadetramitacao?idProposicao=260266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2025-02-09T00:00:00Z</vt:lpwstr>
  </property>
  <property fmtid="{D5CDD505-2E9C-101B-9397-08002B2CF9AE}" pid="3" name="Creator">
    <vt:lpwstr>Canva</vt:lpwstr>
  </property>
  <property fmtid="{D5CDD505-2E9C-101B-9397-08002B2CF9AE}" pid="4" name="LastSaved">
    <vt:lpwstr>2025-02-09T00:00:00Z</vt:lpwstr>
  </property>
  <property fmtid="{D5CDD505-2E9C-101B-9397-08002B2CF9AE}" pid="5" name="Producer">
    <vt:lpwstr>Canva</vt:lpwstr>
  </property>
</Properties>
</file>