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  <mc:AlternateContent>
          <mc:Choice Requires="wpg">
            <w:drawing>
              <wp:inline distB="0" distT="0" distL="0" distR="0">
                <wp:extent cx="2134870" cy="403894"/>
                <wp:effectExtent b="25400" l="25400" r="25400" t="254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297650" y="3658575"/>
                          <a:ext cx="2096700" cy="379200"/>
                        </a:xfrm>
                        <a:prstGeom prst="rect">
                          <a:avLst/>
                        </a:prstGeom>
                        <a:solidFill>
                          <a:srgbClr val="FE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8.00000190734863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0"/>
                                <w:vertAlign w:val="baseline"/>
                              </w:rPr>
                              <w:t xml:space="preserve">11/09 - 14/09</w:t>
                            </w:r>
                          </w:p>
                        </w:txbxContent>
                      </wps:txbx>
                      <wps:bodyPr anchorCtr="0" anchor="ctr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134870" cy="403894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4870" cy="403894"/>
                        </a:xfrm>
                        <a:prstGeom prst="rect"/>
                        <a:ln w="25400">
                          <a:solidFill>
                            <a:srgbClr val="FF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0" w:firstLine="0"/>
        <w:jc w:val="left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360" w:lineRule="auto"/>
        <w:ind w:right="-1.6535433070862382"/>
        <w:rPr>
          <w:rFonts w:ascii="Montserrat" w:cs="Montserrat" w:eastAsia="Montserrat" w:hAnsi="Montserrat"/>
          <w:color w:val="ff0000"/>
        </w:rPr>
      </w:pPr>
      <w:bookmarkStart w:colFirst="0" w:colLast="0" w:name="_npd93ez4zd41" w:id="0"/>
      <w:bookmarkEnd w:id="0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Câmara dos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Deputados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21">
        <w:r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</w:rPr>
          <w:t xml:space="preserve">PL 5349/2026</w:t>
        </w:r>
      </w:hyperlink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15.211, de 17 de setembro de 2025 (Estatuto Digital da Criança e do Adolescente) e a Lei no 12.965, de 23 de abril de 2014 (Marco Civil da Internet), para prevenir e mitigar riscos relacionados a aplicações de internet, conteúdos, produtos ou práticas interativos que simulem relacionamentos afetivos.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Bacelar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Data: </w:t>
      </w:r>
      <w:r>
        <w:rPr>
          <w:rFonts w:ascii="Montserrat" w:hAnsi="Montserrat"/>
          <w:b w:val="0"/>
          <w:color w:val="333333"/>
          <w:sz w:val="20"/>
          <w:u w:val="none"/>
        </w:rPr>
        <w:t>11/09/2026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22">
        <w:r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</w:rPr>
          <w:t xml:space="preserve">PL 5359/2026</w:t>
        </w:r>
      </w:hyperlink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Institui o Programa Nacional de Proteção e Resiliência da Atividade Circense – Programa Circo Seguro, destinado à prevenção de danos, proteção securitária, recuperação e continuidade das atividades circenses atingidas por eventos climáticos extremos e desastres.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Capitão Augusto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Data: </w:t>
      </w:r>
      <w:r>
        <w:rPr>
          <w:rFonts w:ascii="Montserrat" w:hAnsi="Montserrat"/>
          <w:b w:val="0"/>
          <w:color w:val="333333"/>
          <w:sz w:val="20"/>
          <w:u w:val="none"/>
        </w:rPr>
        <w:t>14/09/2026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23">
        <w:r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</w:rPr>
          <w:t xml:space="preserve">PL 5362/2026</w:t>
        </w:r>
      </w:hyperlink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Dispõe sobre o financiamento de ações e serviços de saúde destinados a pessoas com Transtorno do Espectro Autista (TEA) no âmbito do Sistema Único de Saúde (SUS) e dá outras providências.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Domingos Sávio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Data: </w:t>
      </w:r>
      <w:r>
        <w:rPr>
          <w:rFonts w:ascii="Montserrat" w:hAnsi="Montserrat"/>
          <w:b w:val="0"/>
          <w:color w:val="333333"/>
          <w:sz w:val="20"/>
          <w:u w:val="none"/>
        </w:rPr>
        <w:t>14/09/2026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24">
        <w:r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</w:rPr>
          <w:t xml:space="preserve">PL 5366/2026</w:t>
        </w:r>
      </w:hyperlink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8.069, de 13 de julho de 1990 (Estatuto da Criança e do Adolescente), o Decreto-Lei nº 2.848, de 7 de dezembro de 1940 (Código Penal), e a Lei nº 8.072, de 25 de julho de 1990 (Lei dos Crimes Hediondos), para explicitar que a natureza integralmente sintética do material de violência sexual contra criança ou adolescente, gerado por inteligência artificial, não afasta a tipicidade penal, para tipificar a criação de representações integralmente sintéticas e para incluir o crime de simulação entre os crimes hediondos.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Bruno Ganem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Data: </w:t>
      </w:r>
      <w:r>
        <w:rPr>
          <w:rFonts w:ascii="Montserrat" w:hAnsi="Montserrat"/>
          <w:b w:val="0"/>
          <w:color w:val="333333"/>
          <w:sz w:val="20"/>
          <w:u w:val="none"/>
        </w:rPr>
        <w:t>14/09/2026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  <w:hyperlink r:id="rId25">
        <w:r>
          <w:rPr>
            <w:rFonts w:ascii="Montserrat" w:cs="Montserrat" w:eastAsia="Montserrat" w:hAnsi="Montserrat"/>
            <w:b w:val="1"/>
            <w:bCs w:val="1"/>
            <w:color w:val="fe0000"/>
            <w:sz w:val="20"/>
            <w:szCs w:val="20"/>
            <w:u w:val="single"/>
          </w:rPr>
          <w:t xml:space="preserve">PL 5367/2026</w:t>
        </w:r>
      </w:hyperlink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Ementa: </w:t>
      </w:r>
      <w:r>
        <w:rPr>
          <w:rFonts w:ascii="Montserrat" w:hAnsi="Montserrat"/>
          <w:b w:val="0"/>
          <w:color w:val="333333"/>
          <w:sz w:val="20"/>
          <w:u w:val="none"/>
        </w:rPr>
        <w:t>Altera a Lei nº 12.764, de 27 de dezembro de 2012, para prever a disponibilização em formato digital da Carteira de Identificação da Pessoa com Transtorno do Espectro Autista (Ciptea) e instituir o Perfil Digital Assistivo.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Autor: </w:t>
      </w:r>
      <w:r>
        <w:rPr>
          <w:rFonts w:ascii="Montserrat" w:hAnsi="Montserrat"/>
          <w:b w:val="0"/>
          <w:color w:val="333333"/>
          <w:sz w:val="20"/>
          <w:u w:val="none"/>
        </w:rPr>
        <w:t>Soraya Santos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right="-1.6535433070862382"/>
        <w:jc w:val="both"/>
        <w:rPr>
          <w:rFonts w:ascii="Montserrat" w:cs="Montserrat" w:eastAsia="Montserrat" w:hAnsi="Montserrat"/>
          <w:color w:val="333333"/>
          <w:sz w:val="20"/>
          <w:szCs w:val="20"/>
        </w:rPr>
      </w:pPr>
      <w:r>
        <w:rPr>
          <w:rFonts w:ascii="Montserrat" w:hAnsi="Montserrat"/>
          <w:b/>
          <w:color w:val="333333"/>
          <w:sz w:val="20"/>
          <w:u w:val="none"/>
        </w:rPr>
        <w:t xml:space="preserve">Data: </w:t>
      </w:r>
      <w:r>
        <w:rPr>
          <w:rFonts w:ascii="Montserrat" w:hAnsi="Montserrat"/>
          <w:b w:val="0"/>
          <w:color w:val="333333"/>
          <w:sz w:val="20"/>
          <w:u w:val="none"/>
        </w:rPr>
        <w:t>14/09/2026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30">
      <w:pPr>
        <w:pStyle w:val="Title"/>
        <w:spacing w:after="200" w:line="360" w:lineRule="auto"/>
        <w:ind w:right="-1.6535433070862382"/>
        <w:rPr>
          <w:rFonts w:ascii="Montserrat" w:cs="Montserrat" w:eastAsia="Montserrat" w:hAnsi="Montserrat"/>
          <w:color w:val="fe0000"/>
        </w:rPr>
      </w:pPr>
      <w:bookmarkStart w:colFirst="0" w:colLast="0" w:name="_wyzn1k614rqq" w:id="1"/>
      <w:bookmarkEnd w:id="1"/>
      <w:r w:rsidDel="00000000" w:rsidR="00000000" w:rsidRPr="00000000">
        <w:rPr>
          <w:rFonts w:ascii="Montserrat" w:cs="Montserrat" w:eastAsia="Montserrat" w:hAnsi="Montserrat"/>
          <w:color w:val="fe0000"/>
          <w:rtl w:val="0"/>
        </w:rPr>
        <w:t xml:space="preserve">Senado Federal</w:t>
      </w: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p w:rsidR="00000000" w:rsidDel="00000000" w:rsidP="00000000" w:rsidRDefault="00000000" w:rsidRPr="00000000" w14:paraId="00000006">
      <w:pPr>
        <w:shd w:fill="ffffff" w:val="clear"/>
        <w:spacing w:line="288" w:lineRule="auto"/>
        <w:ind w:right="-1.6535433070862382"/>
        <w:jc w:val="both"/>
        <w:rPr>
          <w:rFonts w:ascii="Montserrat" w:cs="Montserrat" w:eastAsia="Montserrat" w:hAnsi="Montserrat"/>
          <w:b w:val="1"/>
          <w:bCs w:val="1"/>
          <w:color w:val="fe0000"/>
          <w:sz w:val="20"/>
          <w:szCs w:val="20"/>
          <w:u w:val="single"/>
        </w:rPr>
      </w:pPr>
    </w:p>
    <w:sectPr>
      <w:headerReference r:id="rId19" w:type="default"/>
      <w:footerReference r:id="rId20" w:type="default"/>
      <w:pgSz w:h="16850" w:w="11910" w:orient="portrait"/>
      <w:pgMar w:bottom="1133.8582677165355" w:top="2267.716535433071" w:left="1133.8582677165355" w:right="1133.858267716535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hd w:fill="ffffff" w:val="clear"/>
      <w:spacing w:after="220" w:before="0" w:line="360" w:lineRule="auto"/>
      <w:ind w:left="-20" w:right="-20" w:firstLine="0"/>
      <w:rPr>
        <w:rFonts w:ascii="Montserrat" w:cs="Montserrat" w:eastAsia="Montserrat" w:hAnsi="Montserrat"/>
        <w:color w:val="333333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643550" y="3182475"/>
                        <a:ext cx="3037612" cy="1074587"/>
                        <a:chOff x="3643550" y="3182475"/>
                        <a:chExt cx="3404900" cy="1195050"/>
                      </a:xfrm>
                    </wpg:grpSpPr>
                    <wpg:grpSp>
                      <wpg:cNvGrpSpPr/>
                      <wpg:grpSpPr>
                        <a:xfrm>
                          <a:off x="3643565" y="3182488"/>
                          <a:ext cx="3404870" cy="1195024"/>
                          <a:chOff x="3643575" y="3187125"/>
                          <a:chExt cx="3404925" cy="1185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643575" y="3187125"/>
                            <a:ext cx="3404925" cy="118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643597" y="3187145"/>
                            <a:ext cx="3404900" cy="1185509"/>
                            <a:chOff x="3643550" y="3191950"/>
                            <a:chExt cx="3404900" cy="11761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3643550" y="3191950"/>
                              <a:ext cx="3404900" cy="117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643565" y="3191973"/>
                              <a:ext cx="3404870" cy="1176055"/>
                              <a:chOff x="3643550" y="3197050"/>
                              <a:chExt cx="3404900" cy="1165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3643550" y="3197050"/>
                                <a:ext cx="3404900" cy="1165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643565" y="3197070"/>
                                <a:ext cx="3404870" cy="1165860"/>
                                <a:chOff x="0" y="0"/>
                                <a:chExt cx="3404870" cy="116586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3404850" cy="1165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custGeom>
                                  <a:rect b="b" l="l" r="r" t="t"/>
                                  <a:pathLst>
                                    <a:path extrusionOk="0" h="1165860" w="3404870">
                                      <a:moveTo>
                                        <a:pt x="3404395" y="1165493"/>
                                      </a:moveTo>
                                      <a:lnTo>
                                        <a:pt x="0" y="11654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04395" y="0"/>
                                      </a:lnTo>
                                      <a:lnTo>
                                        <a:pt x="3404395" y="11654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0000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0"/>
                                  <a:ext cx="3404870" cy="11658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Montserrat" w:cs="Montserrat" w:eastAsia="Montserrat" w:hAnsi="Montserrat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22"/>
                                        <w:vertAlign w:val="baseline"/>
                                      </w:rPr>
                                      <w:t xml:space="preserve">Novas Proposições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3810000</wp:posOffset>
              </wp:positionH>
              <wp:positionV relativeFrom="paragraph">
                <wp:posOffset>-228599</wp:posOffset>
              </wp:positionV>
              <wp:extent cx="3037612" cy="107458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7612" cy="10745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881925</wp:posOffset>
          </wp:positionH>
          <wp:positionV relativeFrom="page">
            <wp:posOffset>214313</wp:posOffset>
          </wp:positionV>
          <wp:extent cx="2023817" cy="8572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3817" cy="857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pt-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39" w:lineRule="auto"/>
      <w:ind w:left="164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ind w:left="164"/>
    </w:pPr>
    <w:rPr>
      <w:rFonts w:ascii="Tahoma" w:cs="Tahoma" w:eastAsia="Tahoma" w:hAnsi="Tahoma"/>
      <w:b w:val="1"/>
      <w:bCs w:val="1"/>
      <w:sz w:val="20"/>
      <w:szCs w:val="2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right="391"/>
      <w:jc w:val="center"/>
    </w:pPr>
    <w:rPr>
      <w:rFonts w:ascii="Tahoma" w:cs="Tahoma" w:eastAsia="Tahoma" w:hAnsi="Tahom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camara.leg.br/proposicoesWeb/fichadetramitacao?idProposicao=2606798" TargetMode="External"/><Relationship Id="rId10" Type="http://schemas.openxmlformats.org/officeDocument/2006/relationships/hyperlink" Target="https://www.camara.leg.br/proposicoesWeb/fichadetramitacao?idProposicao=2606298" TargetMode="External"/><Relationship Id="rId13" Type="http://schemas.openxmlformats.org/officeDocument/2006/relationships/hyperlink" Target="https://www.camara.leg.br/proposicoesWeb/fichadetramitacao?idProposicao=2607075" TargetMode="External"/><Relationship Id="rId12" Type="http://schemas.openxmlformats.org/officeDocument/2006/relationships/hyperlink" Target="https://www.camara.leg.br/proposicoesWeb/fichadetramitacao?idProposicao=260684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mara.leg.br/proposicoesWeb/fichadetramitacao?idProposicao=2605449" TargetMode="External"/><Relationship Id="rId15" Type="http://schemas.openxmlformats.org/officeDocument/2006/relationships/hyperlink" Target="https://www.camara.leg.br/proposicoesWeb/fichadetramitacao?idProposicao=2607158" TargetMode="External"/><Relationship Id="rId14" Type="http://schemas.openxmlformats.org/officeDocument/2006/relationships/hyperlink" Target="https://www.camara.leg.br/proposicoesWeb/fichadetramitacao?idProposicao=2607127" TargetMode="External"/><Relationship Id="rId17" Type="http://schemas.openxmlformats.org/officeDocument/2006/relationships/hyperlink" Target="https://www25.senado.leg.br/web/atividade/materias/-/materia/172937" TargetMode="External"/><Relationship Id="rId16" Type="http://schemas.openxmlformats.org/officeDocument/2006/relationships/hyperlink" Target="https://www25.senado.leg.br/web/atividade/materias/-/materia/172842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hyperlink" Target="https://www25.senado.leg.br/web/atividade/materias/-/materia/172874" TargetMode="External"/><Relationship Id="rId7" Type="http://schemas.openxmlformats.org/officeDocument/2006/relationships/hyperlink" Target="https://www.camara.leg.br/proposicoesWeb/fichadetramitacao?idProposicao=2606161" TargetMode="External"/><Relationship Id="rId8" Type="http://schemas.openxmlformats.org/officeDocument/2006/relationships/hyperlink" Target="https://www.camara.leg.br/proposicoesWeb/fichadetramitacao?idProposicao=2606313" TargetMode="External"/><Relationship Id="rId21" Type="http://schemas.openxmlformats.org/officeDocument/2006/relationships/hyperlink" Target="https://www.camara.leg.br/proposicoesWeb/fichadetramitacao?idProposicao=2646363" TargetMode="External"/><Relationship Id="rId22" Type="http://schemas.openxmlformats.org/officeDocument/2006/relationships/hyperlink" Target="https://www.camara.leg.br/proposicoesWeb/fichadetramitacao?idProposicao=2646390" TargetMode="External"/><Relationship Id="rId23" Type="http://schemas.openxmlformats.org/officeDocument/2006/relationships/hyperlink" Target="https://www.camara.leg.br/proposicoesWeb/fichadetramitacao?idProposicao=2646402" TargetMode="External"/><Relationship Id="rId24" Type="http://schemas.openxmlformats.org/officeDocument/2006/relationships/hyperlink" Target="https://www.camara.leg.br/proposicoesWeb/fichadetramitacao?idProposicao=2646413" TargetMode="External"/><Relationship Id="rId25" Type="http://schemas.openxmlformats.org/officeDocument/2006/relationships/hyperlink" Target="https://www.camara.leg.br/proposicoesWeb/fichadetramitacao?idProposicao=2646418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2025-02-09T00:00:00Z</vt:lpwstr>
  </property>
  <property fmtid="{D5CDD505-2E9C-101B-9397-08002B2CF9AE}" pid="3" name="Creator">
    <vt:lpwstr>Canva</vt:lpwstr>
  </property>
  <property fmtid="{D5CDD505-2E9C-101B-9397-08002B2CF9AE}" pid="4" name="LastSaved">
    <vt:lpwstr>2025-02-09T00:00:00Z</vt:lpwstr>
  </property>
  <property fmtid="{D5CDD505-2E9C-101B-9397-08002B2CF9AE}" pid="5" name="Producer">
    <vt:lpwstr>Canva</vt:lpwstr>
  </property>
</Properties>
</file>