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Folders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data - original vital statistics sent to News21 from the states and collected from various sources, labeled by 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documents - various miscellaneous supporting reports and documents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Datasets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veteran_suicides_full_dataset - all collected suicide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veteran_suicides_age - numbers and calculations based on 36 states with available age demographics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veteran_suicides_gender - numbers and calculations based on 30 states with available gender demographics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veteran_suicides_rate - suicide rate calculations based on 48 states with the most complete datasets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veteran_suicides_growth_rates - calculated annual and average growth for veteran and civilian suicide rates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