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Forrest,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Thank you for contacting the Georgia Department of Public Health.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Unfortunately, my help is limited.  I have the number of military suicides from the past three years only.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225 military (active and non-active) suicides in 2012.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218 "                                                             </w:t>
        <w:tab/>
        <w:t xml:space="preserve">" in 2011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233 "                                                             </w:t>
        <w:tab/>
        <w:t xml:space="preserve">" in 2010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Here is a link to a document that may be helpful to you.  </w:t>
      </w:r>
      <w:hyperlink r:id="rId5">
        <w:r w:rsidRPr="00000000" w:rsidR="00000000" w:rsidDel="00000000">
          <w:rPr>
            <w:color w:val="1155cc"/>
            <w:sz w:val="24"/>
            <w:highlight w:val="white"/>
            <w:u w:val="single"/>
            <w:rtl w:val="0"/>
          </w:rPr>
          <w:t xml:space="preserve">http://www.va.gov/opa/docs/Suicide-Data-Report-2012-final.pdf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You would have to check with Veteran's Affairs or some other agency for the veteran population in Georgia.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Best,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Nancy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4"/>
          <w:highlight w:val="white"/>
          <w:rtl w:val="0"/>
        </w:rPr>
        <w:t xml:space="preserve">Nancy Nydam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Media Relations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Georgia Department of Public Health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2 Peachtree Street, NW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15th Floor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Atlanta, GA 30303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Office: </w:t>
      </w:r>
      <w:r w:rsidRPr="00000000" w:rsidR="00000000" w:rsidDel="00000000">
        <w:rPr>
          <w:color w:val="1155cc"/>
          <w:sz w:val="24"/>
          <w:highlight w:val="white"/>
          <w:rtl w:val="0"/>
        </w:rPr>
        <w:t xml:space="preserve">404-657-2462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155cc"/>
          <w:sz w:val="24"/>
          <w:highlight w:val="white"/>
          <w:rtl w:val="0"/>
        </w:rPr>
        <w:t xml:space="preserve">nanydam@dhr.state.ga.us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Georgia suicide deaths by military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2005: 182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2006: 97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2007: 211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2008: 192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2009: 244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Source: National Violent Death Reporting System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http://wisqars.cdc.gov:8080/nvdrs/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isqars.cdc.gov:8080/nvdrs/" Type="http://schemas.openxmlformats.org/officeDocument/2006/relationships/hyperlink" TargetMode="External" Id="rId6"/><Relationship Target="http://www.va.gov/opa/docs/Suicide-Data-Report-2012-final.pdf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Georgia.docx</dc:title>
</cp:coreProperties>
</file>