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Calibri" w:hAnsi="Calibri" w:eastAsia="Calibri" w:ascii="Calibri"/>
          <w:color w:val="1f497d"/>
          <w:highlight w:val="white"/>
          <w:rtl w:val="0"/>
        </w:rPr>
        <w:t xml:space="preserve">Hi Jeff.</w:t>
      </w:r>
    </w:p>
    <w:p w:rsidP="00000000" w:rsidRPr="00000000" w:rsidR="00000000" w:rsidDel="00000000" w:rsidRDefault="00000000">
      <w:pPr>
        <w:contextualSpacing w:val="0"/>
        <w:rPr/>
      </w:pPr>
      <w:r w:rsidRPr="00000000" w:rsidR="00000000" w:rsidDel="00000000">
        <w:rPr>
          <w:rFonts w:cs="Calibri" w:hAnsi="Calibri" w:eastAsia="Calibri" w:ascii="Calibri"/>
          <w:color w:val="1f497d"/>
          <w:highlight w:val="white"/>
          <w:rtl w:val="0"/>
        </w:rPr>
        <w:t xml:space="preserve"> </w:t>
      </w:r>
    </w:p>
    <w:p w:rsidP="00000000" w:rsidRPr="00000000" w:rsidR="00000000" w:rsidDel="00000000" w:rsidRDefault="00000000">
      <w:pPr>
        <w:contextualSpacing w:val="0"/>
        <w:rPr/>
      </w:pPr>
      <w:r w:rsidRPr="00000000" w:rsidR="00000000" w:rsidDel="00000000">
        <w:rPr>
          <w:b w:val="1"/>
          <w:color w:val="1f497d"/>
          <w:sz w:val="20"/>
          <w:highlight w:val="white"/>
          <w:rtl w:val="0"/>
        </w:rPr>
        <w:t xml:space="preserve">Your request below was forwarded to me. I’m afraid our data on veteran suicides in Kentucky is extremely limited at this time. We were able to change our death certificate reporting in recent years to capture this information, but the only figures I’m able to provide at this time are 2009 and 2010. See below:</w:t>
      </w:r>
    </w:p>
    <w:p w:rsidP="00000000" w:rsidRPr="00000000" w:rsidR="00000000" w:rsidDel="00000000" w:rsidRDefault="00000000">
      <w:pPr>
        <w:contextualSpacing w:val="0"/>
        <w:rPr/>
      </w:pPr>
      <w:r w:rsidRPr="00000000" w:rsidR="00000000" w:rsidDel="00000000">
        <w:rPr>
          <w:b w:val="1"/>
          <w:color w:val="1f497d"/>
          <w:sz w:val="20"/>
          <w:highlight w:val="white"/>
          <w:rtl w:val="0"/>
        </w:rPr>
        <w:t xml:space="preserve"> </w:t>
      </w:r>
    </w:p>
    <w:p w:rsidP="00000000" w:rsidRPr="00000000" w:rsidR="00000000" w:rsidDel="00000000" w:rsidRDefault="00000000">
      <w:pPr>
        <w:contextualSpacing w:val="0"/>
        <w:rPr/>
      </w:pPr>
      <w:r w:rsidRPr="00000000" w:rsidR="00000000" w:rsidDel="00000000">
        <w:rPr>
          <w:color w:val="003300"/>
          <w:sz w:val="20"/>
          <w:highlight w:val="white"/>
          <w:rtl w:val="0"/>
        </w:rPr>
        <w:t xml:space="preserve">Of the 550 suicide deaths in 2009, where veteran status was known, 19% were veterans (364). (In 2010, death certificate format was changed and the data improved).</w:t>
      </w:r>
    </w:p>
    <w:p w:rsidP="00000000" w:rsidRPr="00000000" w:rsidR="00000000" w:rsidDel="00000000" w:rsidRDefault="00000000">
      <w:pPr>
        <w:contextualSpacing w:val="0"/>
        <w:rPr/>
      </w:pPr>
      <w:r w:rsidRPr="00000000" w:rsidR="00000000" w:rsidDel="00000000">
        <w:rPr>
          <w:color w:val="1f497d"/>
          <w:sz w:val="20"/>
          <w:highlight w:val="white"/>
          <w:rtl w:val="0"/>
        </w:rPr>
        <w:t xml:space="preserve">                </w:t>
      </w:r>
      <w:r w:rsidRPr="00000000" w:rsidR="00000000" w:rsidDel="00000000">
        <w:rPr>
          <w:color w:val="003300"/>
          <w:sz w:val="20"/>
          <w:highlight w:val="white"/>
          <w:rtl w:val="0"/>
        </w:rPr>
        <w:t xml:space="preserve">Of the 522 suicide deaths where veteran status was known in 2010, 20% were veterans (184 ).</w:t>
      </w:r>
    </w:p>
    <w:p w:rsidP="00000000" w:rsidRPr="00000000" w:rsidR="00000000" w:rsidDel="00000000" w:rsidRDefault="00000000">
      <w:pPr>
        <w:contextualSpacing w:val="0"/>
        <w:rPr/>
      </w:pPr>
      <w:r w:rsidRPr="00000000" w:rsidR="00000000" w:rsidDel="00000000">
        <w:rPr>
          <w:color w:val="003300"/>
          <w:sz w:val="20"/>
          <w:highlight w:val="white"/>
          <w:rtl w:val="0"/>
        </w:rPr>
        <w:t xml:space="preserve"> </w:t>
      </w:r>
    </w:p>
    <w:p w:rsidP="00000000" w:rsidRPr="00000000" w:rsidR="00000000" w:rsidDel="00000000" w:rsidRDefault="00000000">
      <w:pPr>
        <w:contextualSpacing w:val="0"/>
        <w:rPr/>
      </w:pPr>
      <w:r w:rsidRPr="00000000" w:rsidR="00000000" w:rsidDel="00000000">
        <w:rPr>
          <w:color w:val="003300"/>
          <w:sz w:val="20"/>
          <w:highlight w:val="white"/>
          <w:rtl w:val="0"/>
        </w:rPr>
        <w:t xml:space="preserve">I’ll see if numbers are complete for 2011 and 2012. Also, our suicide prevention folks have done quite a few programs reaching out to military or working with Veterans Affairs to provide mental health services. If you’d like to speak with someone from the Department for Behavioral Health, Developmental and Intellectual Disabilities, we’d be happy to arrange that. Thanks for contacting us.</w:t>
      </w:r>
    </w:p>
    <w:p w:rsidP="00000000" w:rsidRPr="00000000" w:rsidR="00000000" w:rsidDel="00000000" w:rsidRDefault="00000000">
      <w:pPr>
        <w:contextualSpacing w:val="0"/>
        <w:rPr/>
      </w:pPr>
      <w:r w:rsidRPr="00000000" w:rsidR="00000000" w:rsidDel="00000000">
        <w:rPr>
          <w:color w:val="003300"/>
          <w:sz w:val="20"/>
          <w:highlight w:val="white"/>
          <w:rtl w:val="0"/>
        </w:rPr>
        <w:t xml:space="preserve"> </w:t>
      </w:r>
    </w:p>
    <w:p w:rsidP="00000000" w:rsidRPr="00000000" w:rsidR="00000000" w:rsidDel="00000000" w:rsidRDefault="00000000">
      <w:pPr>
        <w:contextualSpacing w:val="0"/>
        <w:rPr/>
      </w:pPr>
      <w:r w:rsidRPr="00000000" w:rsidR="00000000" w:rsidDel="00000000">
        <w:rPr>
          <w:color w:val="003300"/>
          <w:sz w:val="20"/>
          <w:highlight w:val="white"/>
          <w:rtl w:val="0"/>
        </w:rPr>
        <w:t xml:space="preserve">Beth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 </w:t>
      </w:r>
    </w:p>
    <w:tbl>
      <w:tblPr>
        <w:tblW w:w="6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70"/>
        <w:gridCol w:w="2435"/>
        <w:gridCol w:w="1115"/>
        <w:gridCol w:w="880"/>
        <w:gridCol w:w="880"/>
        <w:gridCol w:w="88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222222"/>
                <w:sz w:val="20"/>
                <w:highlight w:val="white"/>
                <w:rtl w:val="0"/>
              </w:rPr>
              <w:t xml:space="preserve"> </w:t>
            </w:r>
          </w:p>
        </w:tc>
        <w:tc>
          <w:tcPr>
            <w:shd w:fill="666699"/>
            <w:tcMar>
              <w:top w:w="100.0" w:type="dxa"/>
              <w:left w:w="100.0" w:type="dxa"/>
              <w:bottom w:w="100.0" w:type="dxa"/>
              <w:right w:w="100.0" w:type="dxa"/>
            </w:tcMar>
            <w:vAlign w:val="bottom"/>
          </w:tcPr>
          <w:p w:rsidP="00000000" w:rsidRPr="00000000" w:rsidR="00000000" w:rsidDel="00000000" w:rsidRDefault="00000000">
            <w:pPr>
              <w:contextualSpacing w:val="0"/>
              <w:jc w:val="center"/>
              <w:rPr/>
            </w:pPr>
            <w:r w:rsidRPr="00000000" w:rsidR="00000000" w:rsidDel="00000000">
              <w:rPr>
                <w:b w:val="1"/>
                <w:color w:val="ffffff"/>
                <w:sz w:val="18"/>
                <w:shd w:val="clear" w:fill="666699"/>
                <w:rtl w:val="0"/>
              </w:rPr>
              <w:t xml:space="preserve">2011*</w:t>
            </w:r>
          </w:p>
        </w:tc>
        <w:tc>
          <w:tcPr>
            <w:shd w:fill="666699"/>
            <w:tcMar>
              <w:top w:w="100.0" w:type="dxa"/>
              <w:left w:w="100.0" w:type="dxa"/>
              <w:bottom w:w="100.0" w:type="dxa"/>
              <w:right w:w="100.0" w:type="dxa"/>
            </w:tcMar>
            <w:vAlign w:val="bottom"/>
          </w:tcPr>
          <w:p w:rsidP="00000000" w:rsidRPr="00000000" w:rsidR="00000000" w:rsidDel="00000000" w:rsidRDefault="00000000">
            <w:pPr>
              <w:contextualSpacing w:val="0"/>
              <w:jc w:val="center"/>
              <w:rPr/>
            </w:pPr>
            <w:r w:rsidRPr="00000000" w:rsidR="00000000" w:rsidDel="00000000">
              <w:rPr>
                <w:b w:val="1"/>
                <w:color w:val="ffffff"/>
                <w:sz w:val="18"/>
                <w:shd w:val="clear" w:fill="666699"/>
                <w:rtl w:val="0"/>
              </w:rPr>
              <w:t xml:space="preserve">2012*</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color w:val="222222"/>
                <w:sz w:val="20"/>
                <w:highlight w:val="white"/>
                <w:rtl w:val="0"/>
              </w:rPr>
              <w:t xml:space="preserve"> </w:t>
            </w:r>
          </w:p>
        </w:tc>
        <w:tc>
          <w:tcPr>
            <w:shd w:fill="666699"/>
            <w:tcMar>
              <w:top w:w="100.0" w:type="dxa"/>
              <w:left w:w="100.0" w:type="dxa"/>
              <w:bottom w:w="100.0" w:type="dxa"/>
              <w:right w:w="100.0" w:type="dxa"/>
            </w:tcMar>
            <w:vAlign w:val="bottom"/>
          </w:tcPr>
          <w:p w:rsidP="00000000" w:rsidRPr="00000000" w:rsidR="00000000" w:rsidDel="00000000" w:rsidRDefault="00000000">
            <w:pPr>
              <w:contextualSpacing w:val="0"/>
              <w:jc w:val="center"/>
              <w:rPr/>
            </w:pPr>
            <w:r w:rsidRPr="00000000" w:rsidR="00000000" w:rsidDel="00000000">
              <w:rPr>
                <w:b w:val="1"/>
                <w:color w:val="ffffff"/>
                <w:sz w:val="18"/>
                <w:shd w:val="clear" w:fill="666699"/>
                <w:rtl w:val="0"/>
              </w:rPr>
              <w:t xml:space="preserve">Death Count</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shd w:fill="666699"/>
            <w:tcMar>
              <w:top w:w="100.0" w:type="dxa"/>
              <w:left w:w="100.0" w:type="dxa"/>
              <w:bottom w:w="100.0" w:type="dxa"/>
              <w:right w:w="100.0" w:type="dxa"/>
            </w:tcMar>
            <w:vAlign w:val="bottom"/>
          </w:tcPr>
          <w:p w:rsidP="00000000" w:rsidRPr="00000000" w:rsidR="00000000" w:rsidDel="00000000" w:rsidRDefault="00000000">
            <w:pPr>
              <w:contextualSpacing w:val="0"/>
              <w:rPr/>
            </w:pPr>
            <w:r w:rsidRPr="00000000" w:rsidR="00000000" w:rsidDel="00000000">
              <w:rPr>
                <w:b w:val="1"/>
                <w:color w:val="ffffff"/>
                <w:sz w:val="18"/>
                <w:shd w:val="clear" w:fill="666699"/>
                <w:rtl w:val="0"/>
              </w:rPr>
              <w:t xml:space="preserve">Total Resident Suicide Deaths</w:t>
            </w:r>
          </w:p>
        </w:tc>
        <w:tc>
          <w:tcPr>
            <w:tcMar>
              <w:top w:w="100.0" w:type="dxa"/>
              <w:left w:w="100.0" w:type="dxa"/>
              <w:bottom w:w="100.0" w:type="dxa"/>
              <w:right w:w="100.0" w:type="dxa"/>
            </w:tcMar>
            <w:vAlign w:val="bottom"/>
          </w:tcPr>
          <w:p w:rsidP="00000000" w:rsidRPr="00000000" w:rsidR="00000000" w:rsidDel="00000000" w:rsidRDefault="00000000">
            <w:pPr>
              <w:contextualSpacing w:val="0"/>
              <w:jc w:val="center"/>
              <w:rPr/>
            </w:pPr>
            <w:r w:rsidRPr="00000000" w:rsidR="00000000" w:rsidDel="00000000">
              <w:rPr>
                <w:color w:val="222222"/>
                <w:sz w:val="18"/>
                <w:highlight w:val="white"/>
                <w:rtl w:val="0"/>
              </w:rPr>
              <w:t xml:space="preserve">643</w:t>
            </w:r>
          </w:p>
        </w:tc>
        <w:tc>
          <w:tcPr>
            <w:tcMar>
              <w:top w:w="100.0" w:type="dxa"/>
              <w:left w:w="100.0" w:type="dxa"/>
              <w:bottom w:w="100.0" w:type="dxa"/>
              <w:right w:w="100.0" w:type="dxa"/>
            </w:tcMar>
            <w:vAlign w:val="bottom"/>
          </w:tcPr>
          <w:p w:rsidP="00000000" w:rsidRPr="00000000" w:rsidR="00000000" w:rsidDel="00000000" w:rsidRDefault="00000000">
            <w:pPr>
              <w:contextualSpacing w:val="0"/>
              <w:jc w:val="center"/>
              <w:rPr/>
            </w:pPr>
            <w:r w:rsidRPr="00000000" w:rsidR="00000000" w:rsidDel="00000000">
              <w:rPr>
                <w:color w:val="222222"/>
                <w:sz w:val="18"/>
                <w:highlight w:val="white"/>
                <w:rtl w:val="0"/>
              </w:rPr>
              <w:t xml:space="preserve">685</w:t>
            </w:r>
          </w:p>
        </w:tc>
      </w:tr>
      <w:tr>
        <w:tc>
          <w:tcPr>
            <w:shd w:fill="666699"/>
            <w:tcMar>
              <w:top w:w="100.0" w:type="dxa"/>
              <w:left w:w="100.0" w:type="dxa"/>
              <w:bottom w:w="100.0" w:type="dxa"/>
              <w:right w:w="100.0" w:type="dxa"/>
            </w:tcMar>
            <w:vAlign w:val="bottom"/>
          </w:tcPr>
          <w:p w:rsidP="00000000" w:rsidRPr="00000000" w:rsidR="00000000" w:rsidDel="00000000" w:rsidRDefault="00000000">
            <w:pPr>
              <w:contextualSpacing w:val="0"/>
              <w:rPr/>
            </w:pPr>
            <w:r w:rsidRPr="00000000" w:rsidR="00000000" w:rsidDel="00000000">
              <w:rPr>
                <w:b w:val="1"/>
                <w:color w:val="ffffff"/>
                <w:sz w:val="18"/>
                <w:shd w:val="clear" w:fill="666699"/>
                <w:rtl w:val="0"/>
              </w:rPr>
              <w:t xml:space="preserve">Veteran Resident Suicide Deaths</w:t>
            </w:r>
          </w:p>
        </w:tc>
        <w:tc>
          <w:tcPr>
            <w:tcMar>
              <w:top w:w="100.0" w:type="dxa"/>
              <w:left w:w="100.0" w:type="dxa"/>
              <w:bottom w:w="100.0" w:type="dxa"/>
              <w:right w:w="100.0" w:type="dxa"/>
            </w:tcMar>
            <w:vAlign w:val="bottom"/>
          </w:tcPr>
          <w:p w:rsidP="00000000" w:rsidRPr="00000000" w:rsidR="00000000" w:rsidDel="00000000" w:rsidRDefault="00000000">
            <w:pPr>
              <w:contextualSpacing w:val="0"/>
              <w:jc w:val="center"/>
              <w:rPr/>
            </w:pPr>
            <w:r w:rsidRPr="00000000" w:rsidR="00000000" w:rsidDel="00000000">
              <w:rPr>
                <w:color w:val="222222"/>
                <w:sz w:val="18"/>
                <w:highlight w:val="white"/>
                <w:rtl w:val="0"/>
              </w:rPr>
              <w:t xml:space="preserve">124</w:t>
            </w:r>
          </w:p>
        </w:tc>
        <w:tc>
          <w:tcPr>
            <w:tcMar>
              <w:top w:w="100.0" w:type="dxa"/>
              <w:left w:w="100.0" w:type="dxa"/>
              <w:bottom w:w="100.0" w:type="dxa"/>
              <w:right w:w="100.0" w:type="dxa"/>
            </w:tcMar>
            <w:vAlign w:val="bottom"/>
          </w:tcPr>
          <w:p w:rsidP="00000000" w:rsidRPr="00000000" w:rsidR="00000000" w:rsidDel="00000000" w:rsidRDefault="00000000">
            <w:pPr>
              <w:contextualSpacing w:val="0"/>
              <w:jc w:val="center"/>
              <w:rPr/>
            </w:pPr>
            <w:r w:rsidRPr="00000000" w:rsidR="00000000" w:rsidDel="00000000">
              <w:rPr>
                <w:color w:val="222222"/>
                <w:sz w:val="18"/>
                <w:highlight w:val="white"/>
                <w:rtl w:val="0"/>
              </w:rPr>
              <w:t xml:space="preserve">132</w:t>
            </w:r>
          </w:p>
        </w:tc>
      </w:tr>
    </w:tbl>
    <w:p w:rsidP="00000000" w:rsidRPr="00000000" w:rsidR="00000000" w:rsidDel="00000000" w:rsidRDefault="00000000">
      <w:pPr>
        <w:contextualSpacing w:val="0"/>
        <w:rPr/>
      </w:pPr>
      <w:r w:rsidRPr="00000000" w:rsidR="00000000" w:rsidDel="00000000">
        <w:rPr>
          <w:rFonts w:cs="Calibri" w:hAnsi="Calibri" w:eastAsia="Calibri" w:ascii="Calibri"/>
          <w:color w:val="222222"/>
          <w:highlight w:val="white"/>
          <w:rtl w:val="0"/>
        </w:rPr>
        <w:t xml:space="preserve">*Death data for the years of 2011 and 2012 are preliminary.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Kentucky suicide deaths by military status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2005: 44</w:t>
      </w:r>
    </w:p>
    <w:p w:rsidP="00000000" w:rsidRPr="00000000" w:rsidR="00000000" w:rsidDel="00000000" w:rsidRDefault="00000000">
      <w:pPr>
        <w:contextualSpacing w:val="0"/>
        <w:rPr/>
      </w:pPr>
      <w:r w:rsidRPr="00000000" w:rsidR="00000000" w:rsidDel="00000000">
        <w:rPr>
          <w:rtl w:val="0"/>
        </w:rPr>
        <w:t xml:space="preserve">2006: 34</w:t>
      </w:r>
    </w:p>
    <w:p w:rsidP="00000000" w:rsidRPr="00000000" w:rsidR="00000000" w:rsidDel="00000000" w:rsidRDefault="00000000">
      <w:pPr>
        <w:contextualSpacing w:val="0"/>
        <w:rPr/>
      </w:pPr>
      <w:r w:rsidRPr="00000000" w:rsidR="00000000" w:rsidDel="00000000">
        <w:rPr>
          <w:rtl w:val="0"/>
        </w:rPr>
        <w:t xml:space="preserve">2007: 44</w:t>
      </w:r>
    </w:p>
    <w:p w:rsidP="00000000" w:rsidRPr="00000000" w:rsidR="00000000" w:rsidDel="00000000" w:rsidRDefault="00000000">
      <w:pPr>
        <w:contextualSpacing w:val="0"/>
      </w:pPr>
      <w:r w:rsidRPr="00000000" w:rsidR="00000000" w:rsidDel="00000000">
        <w:rPr>
          <w:rtl w:val="0"/>
        </w:rPr>
        <w:t xml:space="preserve">2008: 51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Source: National Violent Death Reporting System</w:t>
      </w:r>
    </w:p>
    <w:p w:rsidP="00000000" w:rsidRPr="00000000" w:rsidR="00000000" w:rsidDel="00000000" w:rsidRDefault="00000000">
      <w:pPr>
        <w:contextualSpacing w:val="0"/>
        <w:rPr/>
      </w:pPr>
      <w:hyperlink r:id="rId5">
        <w:r w:rsidRPr="00000000" w:rsidR="00000000" w:rsidDel="00000000">
          <w:rPr>
            <w:color w:val="1155cc"/>
            <w:u w:val="single"/>
            <w:rtl w:val="0"/>
          </w:rPr>
          <w:t xml:space="preserve">http://wisqars.cdc.gov:8080/nvdrs/</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isqars.cdc.gov:8080/nvdr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Kentucky.docx</dc:title>
</cp:coreProperties>
</file>