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color w:val="1f497d"/>
          <w:sz w:val="20"/>
          <w:highlight w:val="white"/>
          <w:rtl w:val="0"/>
        </w:rPr>
        <w:t xml:space="preserve">Please find the data on veteran suicides for 2001-2012 as you requested. Below are the totals by year.  If you have any questions, please let me know.  Thank you. </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 </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Suicides to Veterans</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Maine Resident Data 2001-2012</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2001</w:t>
        <w:tab/>
        <w:t xml:space="preserve">39</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2002</w:t>
        <w:tab/>
        <w:t xml:space="preserve">35</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2003</w:t>
        <w:tab/>
        <w:t xml:space="preserve">31</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2004</w:t>
        <w:tab/>
        <w:t xml:space="preserve">44</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2005</w:t>
        <w:tab/>
        <w:t xml:space="preserve">49</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2006</w:t>
        <w:tab/>
        <w:t xml:space="preserve">43</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2007</w:t>
        <w:tab/>
        <w:t xml:space="preserve">39</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2008</w:t>
        <w:tab/>
        <w:t xml:space="preserve">44</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2009</w:t>
        <w:tab/>
        <w:t xml:space="preserve">45</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2010</w:t>
        <w:tab/>
        <w:t xml:space="preserve">46</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2011</w:t>
        <w:tab/>
        <w:t xml:space="preserve">30**</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2012    37</w:t>
      </w:r>
    </w:p>
    <w:p w:rsidP="00000000" w:rsidRPr="00000000" w:rsidR="00000000" w:rsidDel="00000000" w:rsidRDefault="00000000">
      <w:pPr>
        <w:contextualSpacing w:val="0"/>
        <w:rPr/>
      </w:pPr>
      <w:r w:rsidRPr="00000000" w:rsidR="00000000" w:rsidDel="00000000">
        <w:rPr>
          <w:color w:val="1f497d"/>
          <w:highlight w:val="white"/>
          <w:rtl w:val="0"/>
        </w:rPr>
        <w:t xml:space="preserve"> </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**A portion of 2011 records were completed as paper records and used the previous version of the death certificate. Beginning in 2012, all records use the 2003 U.S. Standard Certificate.  Because of the variation in data collection and recording of the data, this variable may be incomplete for 2011.</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Maine.docx</dc:title>
</cp:coreProperties>
</file>