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2006=202 suicides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157-would require manual lookup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40-Never in armed forces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  5-Were in armed forces at some point in their lifetime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2007=181 suicides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97-would require manual lookup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69-Never in armed forces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15-Were in armed forces at some point in their lifetime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2008=197 suicides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86-would require manual lookup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89-Never in armed forces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21-Were in armed forces at some point in their lifetime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   1-Armed forces question answered unknown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2009=177 suicides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57-would require manual lookup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89-Never in armed forces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30-Were in armed forces at some point in their lifetime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   1-Armed forces question answered unknown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2010=184 suicides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50-would require manual lookup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</w:t>
        <w:tab/>
        <w:t xml:space="preserve">113-Never in armed forces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21-Were in armed forces at some point in their lifetime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2011=188 suicides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31-would require manual lookup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</w:t>
        <w:tab/>
        <w:t xml:space="preserve">123-Never in armed forces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34-Were in armed forces at some point in their lifetime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2012=230 suicides (provisional data)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29-would require manual lookup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</w:t>
        <w:tab/>
        <w:t xml:space="preserve">164-Never in armed forces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1f497d"/>
          <w:highlight w:val="white"/>
          <w:rtl w:val="0"/>
        </w:rPr>
        <w:t xml:space="preserve">            </w:t>
        <w:tab/>
        <w:t xml:space="preserve">37-Were in armed forces at some point in their lifetime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Nebraska.docx</dc:title>
</cp:coreProperties>
</file>