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400"/>
        <w:jc w:val="left"/>
      </w:pPr>
      <w:r>
        <w:rPr>
          <w:b/>
          <w:bCs/>
          <w:color w:val="6B4FA0"/>
          <w:spacing w:val="80"/>
          <w:sz w:val="20"/>
          <w:szCs w:val="20"/>
        </w:rPr>
        <w:t xml:space="preserve">DOCUMENTO EXECUTIVO</w:t>
      </w:r>
    </w:p>
    <w:p>
      <w:pPr>
        <w:spacing w:after="100" w:before="200"/>
        <w:jc w:val="left"/>
      </w:pPr>
      <w:r>
        <w:rPr>
          <w:color w:val="555555"/>
          <w:sz w:val="26"/>
          <w:szCs w:val="26"/>
        </w:rPr>
        <w:t xml:space="preserve">Rebrand gestao.dev</w:t>
      </w:r>
    </w:p>
    <w:p>
      <w:pPr>
        <w:spacing w:after="200" w:before="400"/>
        <w:jc w:val="left"/>
      </w:pPr>
      <w:r>
        <w:rPr>
          <w:b/>
          <w:bCs/>
          <w:color w:val="3B2A5C"/>
          <w:sz w:val="96"/>
          <w:szCs w:val="96"/>
        </w:rPr>
        <w:t xml:space="preserve">Lin-Dev</w:t>
      </w:r>
    </w:p>
    <w:p>
      <w:pPr>
        <w:spacing w:after="2400" w:before="100"/>
        <w:jc w:val="left"/>
      </w:pPr>
      <w:r>
        <w:rPr>
          <w:i/>
          <w:iCs/>
          <w:color w:val="2B2B2B"/>
          <w:sz w:val="28"/>
          <w:szCs w:val="28"/>
        </w:rPr>
        <w:t xml:space="preserve">Justificativa estratégica da escolha de nome</w:t>
      </w:r>
    </w:p>
    <w:p>
      <w:pPr>
        <w:pBdr>
          <w:top w:val="single" w:color="3B2A5C" w:sz="16" w:space="8"/>
        </w:pBdr>
        <w:jc w:val="left"/>
      </w:pPr>
      <w:r>
        <w:t xml:space="preserve"/>
      </w:r>
    </w:p>
    <w:p>
      <w:pPr>
        <w:spacing w:before="200"/>
      </w:pPr>
      <w:r>
        <w:rPr>
          <w:b/>
          <w:bCs/>
          <w:color w:val="2B2B2B"/>
          <w:sz w:val="22"/>
          <w:szCs w:val="22"/>
        </w:rPr>
        <w:t xml:space="preserve">Ceisc Tech</w:t>
      </w:r>
    </w:p>
    <w:p>
      <w:pPr>
        <w:spacing w:after="80"/>
      </w:pPr>
      <w:r>
        <w:rPr>
          <w:color w:val="555555"/>
          <w:sz w:val="20"/>
          <w:szCs w:val="20"/>
        </w:rPr>
        <w:t xml:space="preserve">Preparado para uso interno e apresentação a stakeholders</w:t>
      </w:r>
    </w:p>
    <w:p>
      <w:pPr>
        <w:spacing w:after="80"/>
      </w:pPr>
      <w:r>
        <w:rPr>
          <w:color w:val="555555"/>
          <w:sz w:val="20"/>
          <w:szCs w:val="20"/>
        </w:rPr>
        <w:t xml:space="preserve">Abril de 2026</w:t>
      </w:r>
    </w:p>
    <w:p>
      <w:r>
        <w:br w:type="page"/>
      </w:r>
    </w:p>
    <w:p>
      <w:pPr>
        <w:pStyle w:val="Heading1"/>
        <w:spacing w:after="200" w:before="360"/>
      </w:pPr>
      <w:r>
        <w:t xml:space="preserve">Sumário executivo</w:t>
      </w:r>
    </w:p>
    <w:p>
      <w:pPr>
        <w:spacing w:after="120" w:line="320"/>
      </w:pPr>
      <w:r>
        <w:t xml:space="preserve">Este documento formaliza a escolha de Lin-Dev como novo nome do produto atualmente conhecido como gestao.dev. A decisão encerra um processo de análise que avaliou mais de cento e cinquenta candidatos em múltiplas estratégias semânticas, incluindo neologismos, palavras reais em português, diminutivos de pioneiros da computação, palavras arcaicas em inglês e nomes de companheiros ficcionais.</w:t>
      </w:r>
    </w:p>
    <w:p>
      <w:pPr>
        <w:spacing w:after="120" w:line="320"/>
      </w:pPr>
      <w:r>
        <w:t xml:space="preserve">Lin-Dev foi escolhido por reunir quatro qualidades que nenhum outro candidato ofereceu de forma simultânea: ausência de colisão direta em nicho de SaaS para desenvolvedores, tripla ancoragem mnemônica em termos já nativos ao vocabulário técnico, alinhamento funcional com o brandbook em múltiplas camadas e viabilidade operacional em domínios, marca e canais sociais.</w:t>
      </w:r>
    </w:p>
    <w:p>
      <w:pPr>
        <w:spacing w:after="120" w:line="320"/>
      </w:pPr>
      <w:r>
        <w:t xml:space="preserve">O formato Lin-Dev adota hífen como separador por razões semióticas e técnicas: o hífen, em ambientes de desenvolvimento, indica continuidade e composição, enquanto a barra diagonal indica separação e hierarquia. A continuidade é o valor central do brandbook. Adicionalmente, o hífen é compatível com todas as convenções técnicas relevantes, incluindo domínios, URLs, CLIs, pacotes npm e repositórios no GitHub.</w:t>
      </w:r>
    </w:p>
    <w:p>
      <w:pPr>
        <w:spacing w:after="120" w:line="320"/>
      </w:pPr>
      <w:r>
        <w:t xml:space="preserve">Este documento apresenta a análise fonética, as três camadas de ancoragem mnemônica, o alinhamento com cada elemento do brandbook, o mapeamento de ativos digitais disponíveis e os próximos passos operacionais para execução do rebrand.</w:t>
      </w:r>
    </w:p>
    <w:p>
      <w:pPr>
        <w:pBdr>
          <w:bottom w:val="single" w:color="3B2A5C" w:sz="8" w:space="1"/>
        </w:pBdr>
        <w:spacing w:after="200" w:before="200"/>
      </w:pPr>
      <w:r>
        <w:t xml:space="preserve"/>
      </w:r>
    </w:p>
    <w:p>
      <w:pPr>
        <w:pStyle w:val="Heading1"/>
        <w:spacing w:after="200" w:before="360"/>
      </w:pPr>
      <w:r>
        <w:t xml:space="preserve">1. Análise fonética</w:t>
      </w:r>
    </w:p>
    <w:p>
      <w:pPr>
        <w:pStyle w:val="Heading2"/>
        <w:spacing w:after="140" w:before="280"/>
      </w:pPr>
      <w:r>
        <w:t xml:space="preserve">1.1. Pronúncia e reconhecimento</w:t>
      </w:r>
    </w:p>
    <w:p>
      <w:pPr>
        <w:spacing w:after="120" w:line="320"/>
      </w:pPr>
      <w:r>
        <w:t xml:space="preserve">Lin é uma sílaba única, composta por três fonemas: a consoante lateral alveolar sonora, a vogal anterior fechada e a consoante nasal alveolar. Esta combinação é fonotaticamente válida em português, inglês, espanhol e nas demais línguas ocidentais relevantes para o mercado-alvo. Não há nenhuma dificuldade de pronúncia para falantes nativos de português brasileiro, e a realização em inglês é igualmente direta.</w:t>
      </w:r>
    </w:p>
    <w:p>
      <w:pPr>
        <w:spacing w:after="120" w:line="320"/>
      </w:pPr>
      <w:r>
        <w:t xml:space="preserve">A sílaba Lin pronunciada em português brasileiro rima exatamente com palavras familiares como fim, sim e assim. Em inglês, a pronúncia rima com in, thin e win. As duas realizações são próximas o suficiente para que a marca funcione sem dissonância entre mercados, dispensando a necessidade de disambiguação fonética em campanhas bilíngues.</w:t>
      </w:r>
    </w:p>
    <w:p>
      <w:pPr>
        <w:pStyle w:val="Heading2"/>
        <w:spacing w:after="140" w:before="280"/>
      </w:pPr>
      <w:r>
        <w:t xml:space="preserve">1.2. Ausência de landmines fonéticos</w:t>
      </w:r>
    </w:p>
    <w:p>
      <w:pPr>
        <w:spacing w:after="120" w:line="320"/>
      </w:pPr>
      <w:r>
        <w:t xml:space="preserve">Durante o processo de análise, dezenas de candidatos foram descartados por homofonia problemática. Arien foi descartado pela proximidade com termo racialmente carregado. Knut foi descartado pela proximidade com palavra vulgar em inglês. Vint foi descartado pela ambiguidade com a brincadeira de número em português brasileiro. Opa foi descartado pela gíria de tropeço em português.</w:t>
      </w:r>
    </w:p>
    <w:p>
      <w:pPr>
        <w:spacing w:after="120" w:line="320"/>
      </w:pPr>
      <w:r>
        <w:t xml:space="preserve">Lin passa em todos os testes de homofonia relevantes. Não carrega associação vulgar, racial, pejorativa nem ridícula em português, inglês, espanhol ou nas línguas de mercados adjacentes. Em voz alta, em qualquer canal e em qualquer sotaque testado, o nome permanece neutro e profissional.</w:t>
      </w:r>
    </w:p>
    <w:p>
      <w:pPr>
        <w:pStyle w:val="Heading2"/>
        <w:spacing w:after="140" w:before="280"/>
      </w:pPr>
      <w:r>
        <w:t xml:space="preserve">1.3. Memorização e escrita</w:t>
      </w:r>
    </w:p>
    <w:p>
      <w:pPr>
        <w:spacing w:after="120" w:line="320"/>
      </w:pPr>
      <w:r>
        <w:t xml:space="preserve">Uma preocupação comum com nomes curtos de três letras é o risco de ambiguidade ortográfica: dúvidas entre grafias como Lin, Lyn, Lynn, Linn. Este risco é neutralizado pela existência da palavra lint no vocabulário técnico do público-alvo, discutida em detalhe na seção sobre ancoragem mnemônica. O caminho cognitivo do desenvolvedor ao ver ou ouvir o nome pela primeira vez é imediato: Lin, como lint, sem o t final.</w:t>
      </w:r>
    </w:p>
    <w:p>
      <w:pPr>
        <w:spacing w:after="120" w:line="320"/>
      </w:pPr>
      <w:r>
        <w:t xml:space="preserve">Este é um diferencial não trivial. Marcas curtas tipicamente exigem esforço mnemônico adicional nos primeiros seis a doze meses de lançamento. Lin-Dev herda memorização gratuita de uma ferramenta que o público-alvo usa diariamente.</w:t>
      </w:r>
    </w:p>
    <w:p>
      <w:pPr>
        <w:pBdr>
          <w:bottom w:val="single" w:color="3B2A5C" w:sz="8" w:space="1"/>
        </w:pBdr>
        <w:spacing w:after="200" w:before="200"/>
      </w:pPr>
      <w:r>
        <w:t xml:space="preserve"/>
      </w:r>
    </w:p>
    <w:p>
      <w:pPr>
        <w:pStyle w:val="Heading1"/>
        <w:spacing w:after="200" w:before="360"/>
      </w:pPr>
      <w:r>
        <w:t xml:space="preserve">2. Tripla ancoragem mnemônica</w:t>
      </w:r>
    </w:p>
    <w:p>
      <w:pPr>
        <w:spacing w:after="120" w:line="320"/>
      </w:pPr>
      <w:r>
        <w:t xml:space="preserve">A escolha de Lin como núcleo da marca deriva de uma convergência rara: três referências semanticamente distintas, todas relevantes para o público-alvo, todas reforçando o mesmo posicionamento de produto. Esta seção detalha cada uma.</w:t>
      </w:r>
    </w:p>
    <w:p>
      <w:pPr>
        <w:pStyle w:val="Heading2"/>
        <w:spacing w:after="140" w:before="280"/>
      </w:pPr>
      <w:r>
        <w:t xml:space="preserve">2.1. Lin e Lean: alinhamento com eficiência</w:t>
      </w:r>
    </w:p>
    <w:p>
      <w:pPr>
        <w:spacing w:after="120" w:line="320"/>
      </w:pPr>
      <w:r>
        <w:t xml:space="preserve">A sílaba Lin é foneticamente próxima da palavra Lean, framework de gestão desenvolvido originalmente no sistema de produção Toyota e adotado massivamente no desenvolvimento de software moderno. O princípio central do Lean é a eliminação sistemática de desperdício, identificado em categorias como espera, movimentação desnecessária, retrabalho, estoque excessivo e defeitos.</w:t>
      </w:r>
    </w:p>
    <w:p>
      <w:pPr>
        <w:spacing w:after="120" w:line="320"/>
      </w:pPr>
      <w:r>
        <w:t xml:space="preserve">O brandbook de gestao.dev identifica como inimigo explícito o tempo perdido com burocracia: arrastar cards, atualizar status, preencher relatórios, gerar reports. Em termos estritamente Lean, este é desperdício de movimentação e de processamento excessivo. O nome Lin, ao evocar Lean sem declará-lo, estabelece um alinhamento subconsciente entre a marca e o framework que o desenvolvedor já reconhece como referência de eficiência.</w:t>
      </w:r>
    </w:p>
    <w:p>
      <w:pPr>
        <w:spacing w:after="120" w:line="320"/>
      </w:pPr>
      <w:r>
        <w:t xml:space="preserve">Esta associação é indireta por desenho. Declarar Lean explicitamente obrigaria a marca a competir com uma metodologia, enquanto evocá-lo permite que o público conecte os pontos sozinho. Este é o mesmo mecanismo que marcas como Stripe usam ao evocar a faixa magnética do cartão sem nomeá-la.</w:t>
      </w:r>
    </w:p>
    <w:p>
      <w:pPr>
        <w:pStyle w:val="Heading2"/>
        <w:spacing w:after="140" w:before="280"/>
      </w:pPr>
      <w:r>
        <w:t xml:space="preserve">2.2. Lin e Linus: pertencimento à cultura dev</w:t>
      </w:r>
    </w:p>
    <w:p>
      <w:pPr>
        <w:spacing w:after="120" w:line="320"/>
      </w:pPr>
      <w:r>
        <w:t xml:space="preserve">Lin é o diminutivo natural de Linus, primeiro nome de Linus Torvalds, criador do kernel Linux e do Git. Esta referência é reconhecida instantaneamente por qualquer desenvolvedor que tenha contato com sistemas operacionais, versionamento de código ou cultura open source, o que abrange praticamente a totalidade do público-alvo.</w:t>
      </w:r>
    </w:p>
    <w:p>
      <w:pPr>
        <w:spacing w:after="120" w:line="320"/>
      </w:pPr>
      <w:r>
        <w:t xml:space="preserve">A referência a Linus cumpre duas funções estratégicas. A primeira é de pertencimento: ao adotar um nome que evoca uma figura canônica da cultura dev, o produto sinaliza que foi construído por e para desenvolvedores, não por equipes de produto alheias ao ofício. A segunda é de posicionamento contra ferramentas genéricas de gestão, que adotam nomes corporativos neutros. Lin declara território.</w:t>
      </w:r>
    </w:p>
    <w:p>
      <w:pPr>
        <w:spacing w:after="120" w:line="320"/>
      </w:pPr>
      <w:r>
        <w:t xml:space="preserve">É importante notar que a marca não reivindica autorização nem endosso de Linus Torvalds. A associação opera como referência cultural aberta, no mesmo espírito em que produtos como o editor Emacs referenciam MACS, ou a linguagem Ruby evoca uma gema preciosa.</w:t>
      </w:r>
    </w:p>
    <w:p>
      <w:pPr>
        <w:pStyle w:val="Heading2"/>
        <w:spacing w:after="140" w:before="280"/>
      </w:pPr>
      <w:r>
        <w:t xml:space="preserve">2.3. Lin e Lint: analogia funcional de produto</w:t>
      </w:r>
    </w:p>
    <w:p>
      <w:pPr>
        <w:spacing w:after="120" w:line="320"/>
      </w:pPr>
      <w:r>
        <w:t xml:space="preserve">O terceiro vetor de ancoragem é o mais semanticamente denso e o que mais alinha nome a promessa de produto. Lint, no vocabulário dev, designa uma categoria de ferramentas de análise estática de código. Ferramentas como ESLint, Pylint, StyleLint e Clippy operam em background, analisam o código em busca de problemas semânticos e apresentam os resultados dentro do editor antes que o desenvolvedor precise executar o programa.</w:t>
      </w:r>
    </w:p>
    <w:p>
      <w:pPr>
        <w:spacing w:after="120" w:line="320"/>
      </w:pPr>
      <w:r>
        <w:t xml:space="preserve">A função do lint mapeia com precisão a promessa central de Lin-Dev:</w:t>
      </w:r>
    </w:p>
    <w:p>
      <w:pPr>
        <w:pStyle w:val="ListParagraph"/>
        <w:numPr>
          <w:ilvl w:val="0"/>
          <w:numId w:val="2"/>
        </w:numPr>
        <w:spacing w:after="80" w:line="300"/>
      </w:pPr>
      <w:r>
        <w:rPr>
          <w:b/>
          <w:bCs/>
        </w:rPr>
        <w:t xml:space="preserve">Trabalho silencioso em background.</w:t>
      </w:r>
      <w:r>
        <w:t xml:space="preserve"> O lint roda continuamente sem interromper o desenvolvedor. Lin-Dev, via MCP, deve operar sobre o estado do projeto sem demandar atenção ativa.</w:t>
      </w:r>
    </w:p>
    <w:p>
      <w:pPr>
        <w:pStyle w:val="ListParagraph"/>
        <w:numPr>
          <w:ilvl w:val="0"/>
          <w:numId w:val="2"/>
        </w:numPr>
        <w:spacing w:after="80" w:line="300"/>
      </w:pPr>
      <w:r>
        <w:rPr>
          <w:b/>
          <w:bCs/>
        </w:rPr>
        <w:t xml:space="preserve">Resolução antes da ação.</w:t>
      </w:r>
      <w:r>
        <w:t xml:space="preserve"> O lint identifica problemas antes que se tornem bugs em produção. Lin-Dev resolve tarefas de gestão antes que o desenvolvedor abra o board.</w:t>
      </w:r>
    </w:p>
    <w:p>
      <w:pPr>
        <w:pStyle w:val="ListParagraph"/>
        <w:numPr>
          <w:ilvl w:val="0"/>
          <w:numId w:val="2"/>
        </w:numPr>
        <w:spacing w:after="80" w:line="300"/>
      </w:pPr>
      <w:r>
        <w:rPr>
          <w:b/>
          <w:bCs/>
        </w:rPr>
        <w:t xml:space="preserve">Eliminação de desperdício cognitivo.</w:t>
      </w:r>
      <w:r>
        <w:t xml:space="preserve"> O lint elimina a necessidade de debugging manual de erros triviais. Lin-Dev elimina a necessidade de manutenção manual de gestão.</w:t>
      </w:r>
    </w:p>
    <w:p>
      <w:pPr>
        <w:spacing w:after="120" w:line="320"/>
      </w:pPr>
      <w:r>
        <w:t xml:space="preserve">Esta analogia gera um pitch de uma linha que a marca carrega embutido: Lin-Dev é o lint da sua gestão de projeto. O desenvolvedor entende o produto em menos de cinco segundos, sem necessidade de onboarding narrativo.</w:t>
      </w:r>
    </w:p>
    <w:p>
      <w:pPr>
        <w:pStyle w:val="Heading2"/>
        <w:spacing w:after="140" w:before="280"/>
      </w:pPr>
      <w:r>
        <w:t xml:space="preserve">2.4. Exemplos práticos de acionamento via MCP</w:t>
      </w:r>
    </w:p>
    <w:p>
      <w:pPr>
        <w:spacing w:after="120" w:line="320"/>
      </w:pPr>
      <w:r>
        <w:t xml:space="preserve">Para demonstrar como o nome Lin-Dev materializa o brandbook em uso real, esta seção apresenta quatro cenários típicos de interação com o agente via protocolo MCP, integrado ao ambiente de desenvolvimento. Em cada exemplo, observe três coisas: o vocativo natural do nome próprio, a coerência com a analogia do lint (trabalho resolvido antes da pergunta) e o protagonismo do tempo devolvido, nunca do agente.</w:t>
      </w:r>
    </w:p>
    <w:p>
      <w:pPr>
        <w:spacing w:after="120" w:before="200"/>
      </w:pPr>
      <w:r>
        <w:rPr>
          <w:b/>
          <w:bCs/>
          <w:i/>
          <w:iCs/>
          <w:color w:val="6B4FA0"/>
          <w:sz w:val="22"/>
          <w:szCs w:val="22"/>
        </w:rPr>
        <w:t xml:space="preserve">Cenário 1 — Início do dia, abertura do editor</w:t>
      </w:r>
    </w:p>
    <w:p>
      <w:pPr>
        <w:pBdr>
          <w:left w:val="single" w:color="6B4FA0" w:sz="16" w:space="8"/>
        </w:pBdr>
        <w:shd w:fill="F4F2F8" w:val="clear"/>
        <w:spacing w:after="60" w:line="280"/>
        <w:ind w:left="240"/>
      </w:pPr>
      <w:r>
        <w:rPr>
          <w:rFonts w:ascii="Consolas" w:cs="Consolas" w:eastAsia="Consolas" w:hAnsi="Consolas"/>
          <w:b/>
          <w:bCs/>
          <w:color w:val="6B4FA0"/>
          <w:sz w:val="20"/>
          <w:szCs w:val="20"/>
        </w:rPr>
        <w:t xml:space="preserve">dev ›  </w:t>
      </w:r>
      <w:r>
        <w:rPr>
          <w:rFonts w:ascii="Consolas" w:cs="Consolas" w:eastAsia="Consolas" w:hAnsi="Consolas"/>
          <w:color w:val="2B2B2B"/>
          <w:sz w:val="20"/>
          <w:szCs w:val="20"/>
        </w:rPr>
        <w:t xml:space="preserve">Lin, o que já passou por aqui desde ontem?</w:t>
      </w:r>
    </w:p>
    <w:p>
      <w:pPr>
        <w:spacing w:after="80"/>
      </w:pPr>
      <w:r>
        <w:t xml:space="preserve"/>
      </w:r>
    </w:p>
    <w:p>
      <w:pPr>
        <w:pBdr>
          <w:left w:val="single" w:color="3B2A5C" w:sz="16" w:space="8"/>
        </w:pBdr>
        <w:shd w:fill="F4F2F8" w:val="clear"/>
        <w:spacing w:after="60" w:line="280"/>
        <w:ind w:left="240"/>
      </w:pPr>
      <w:r>
        <w:rPr>
          <w:rFonts w:ascii="Consolas" w:cs="Consolas" w:eastAsia="Consolas" w:hAnsi="Consolas"/>
          <w:b/>
          <w:bCs/>
          <w:color w:val="3B2A5C"/>
          <w:sz w:val="20"/>
          <w:szCs w:val="20"/>
        </w:rPr>
        <w:t xml:space="preserve">lin ›  </w:t>
      </w:r>
      <w:r>
        <w:rPr>
          <w:rFonts w:ascii="Consolas" w:cs="Consolas" w:eastAsia="Consolas" w:hAnsi="Consolas"/>
          <w:color w:val="2B2B2B"/>
          <w:sz w:val="20"/>
          <w:szCs w:val="20"/>
        </w:rPr>
        <w:t xml:space="preserve">Três PRs mergeados, dois bloqueios resolvidos. Mauricio tirou o débito do webhook. Isabel subiu a migration. Sprint fechou ontem; o próximo começa hoje 10h com 14 cards priorizados.</w:t>
      </w:r>
    </w:p>
    <w:p>
      <w:pPr>
        <w:spacing w:before="160"/>
      </w:pPr>
      <w:r>
        <w:t xml:space="preserve">Observe: o desenvolvedor abre o editor esperando revisar, organizar e entender o estado do projeto. Em vez disso, encontra o estado já resumido. Lin-Dev fez o trabalho de gestão enquanto o dev dormia. Este é o território emocional do brandbook (o alívio de abrir o board e ele já estar certo) traduzido em interação concreta.</w:t>
      </w:r>
    </w:p>
    <w:p>
      <w:pPr>
        <w:spacing w:after="120" w:before="200"/>
      </w:pPr>
      <w:r>
        <w:rPr>
          <w:b/>
          <w:bCs/>
          <w:i/>
          <w:iCs/>
          <w:color w:val="6B4FA0"/>
          <w:sz w:val="22"/>
          <w:szCs w:val="22"/>
        </w:rPr>
        <w:t xml:space="preserve">Cenário 2 — Meio do sprint, contexto cognitivo em código</w:t>
      </w:r>
    </w:p>
    <w:p>
      <w:pPr>
        <w:pBdr>
          <w:left w:val="single" w:color="6B4FA0" w:sz="16" w:space="8"/>
        </w:pBdr>
        <w:shd w:fill="F4F2F8" w:val="clear"/>
        <w:spacing w:after="60" w:line="280"/>
        <w:ind w:left="240"/>
      </w:pPr>
      <w:r>
        <w:rPr>
          <w:rFonts w:ascii="Consolas" w:cs="Consolas" w:eastAsia="Consolas" w:hAnsi="Consolas"/>
          <w:b/>
          <w:bCs/>
          <w:color w:val="6B4FA0"/>
          <w:sz w:val="20"/>
          <w:szCs w:val="20"/>
        </w:rPr>
        <w:t xml:space="preserve">dev ›  </w:t>
      </w:r>
      <w:r>
        <w:rPr>
          <w:rFonts w:ascii="Consolas" w:cs="Consolas" w:eastAsia="Consolas" w:hAnsi="Consolas"/>
          <w:color w:val="2B2B2B"/>
          <w:sz w:val="20"/>
          <w:szCs w:val="20"/>
        </w:rPr>
        <w:t xml:space="preserve">Lin, o que é mais urgente agora?</w:t>
      </w:r>
    </w:p>
    <w:p>
      <w:pPr>
        <w:spacing w:after="80"/>
      </w:pPr>
      <w:r>
        <w:t xml:space="preserve"/>
      </w:r>
    </w:p>
    <w:p>
      <w:pPr>
        <w:pBdr>
          <w:left w:val="single" w:color="3B2A5C" w:sz="16" w:space="8"/>
        </w:pBdr>
        <w:shd w:fill="F4F2F8" w:val="clear"/>
        <w:spacing w:after="60" w:line="280"/>
        <w:ind w:left="240"/>
      </w:pPr>
      <w:r>
        <w:rPr>
          <w:rFonts w:ascii="Consolas" w:cs="Consolas" w:eastAsia="Consolas" w:hAnsi="Consolas"/>
          <w:b/>
          <w:bCs/>
          <w:color w:val="3B2A5C"/>
          <w:sz w:val="20"/>
          <w:szCs w:val="20"/>
        </w:rPr>
        <w:t xml:space="preserve">lin ›  </w:t>
      </w:r>
      <w:r>
        <w:rPr>
          <w:rFonts w:ascii="Consolas" w:cs="Consolas" w:eastAsia="Consolas" w:hAnsi="Consolas"/>
          <w:color w:val="2B2B2B"/>
          <w:sz w:val="20"/>
          <w:szCs w:val="20"/>
        </w:rPr>
        <w:t xml:space="preserve">A task do refresh token. Dois devs esperam esse endpoint pra destravar auth flow no mobile. Já desmontei os subtasks, deixei linkado no card.</w:t>
      </w:r>
    </w:p>
    <w:p>
      <w:pPr>
        <w:spacing w:before="160"/>
      </w:pPr>
      <w:r>
        <w:t xml:space="preserve">Observe: o desenvolvedor não precisa sair do editor, abrir Jira, cruzar dependências, escrever subtasks. A fricção entre intenção e execução foi eliminada. Lin-Dev entregou a decisão processada, não a interface para decidir.</w:t>
      </w:r>
    </w:p>
    <w:p>
      <w:pPr>
        <w:spacing w:after="120" w:before="200"/>
      </w:pPr>
      <w:r>
        <w:rPr>
          <w:b/>
          <w:bCs/>
          <w:i/>
          <w:iCs/>
          <w:color w:val="6B4FA0"/>
          <w:sz w:val="22"/>
          <w:szCs w:val="22"/>
        </w:rPr>
        <w:t xml:space="preserve">Cenário 3 — Fim de tarefa, atualização implícita</w:t>
      </w:r>
    </w:p>
    <w:p>
      <w:pPr>
        <w:pBdr>
          <w:left w:val="single" w:color="6B4FA0" w:sz="16" w:space="8"/>
        </w:pBdr>
        <w:shd w:fill="F4F2F8" w:val="clear"/>
        <w:spacing w:after="60" w:line="280"/>
        <w:ind w:left="240"/>
      </w:pPr>
      <w:r>
        <w:rPr>
          <w:rFonts w:ascii="Consolas" w:cs="Consolas" w:eastAsia="Consolas" w:hAnsi="Consolas"/>
          <w:b/>
          <w:bCs/>
          <w:color w:val="6B4FA0"/>
          <w:sz w:val="20"/>
          <w:szCs w:val="20"/>
        </w:rPr>
        <w:t xml:space="preserve">dev ›  </w:t>
      </w:r>
      <w:r>
        <w:rPr>
          <w:rFonts w:ascii="Consolas" w:cs="Consolas" w:eastAsia="Consolas" w:hAnsi="Consolas"/>
          <w:color w:val="2B2B2B"/>
          <w:sz w:val="20"/>
          <w:szCs w:val="20"/>
        </w:rPr>
        <w:t xml:space="preserve">Lin, terminei o PR do refresh token.</w:t>
      </w:r>
    </w:p>
    <w:p>
      <w:pPr>
        <w:spacing w:after="80"/>
      </w:pPr>
      <w:r>
        <w:t xml:space="preserve"/>
      </w:r>
    </w:p>
    <w:p>
      <w:pPr>
        <w:pBdr>
          <w:left w:val="single" w:color="3B2A5C" w:sz="16" w:space="8"/>
        </w:pBdr>
        <w:shd w:fill="F4F2F8" w:val="clear"/>
        <w:spacing w:after="60" w:line="280"/>
        <w:ind w:left="240"/>
      </w:pPr>
      <w:r>
        <w:rPr>
          <w:rFonts w:ascii="Consolas" w:cs="Consolas" w:eastAsia="Consolas" w:hAnsi="Consolas"/>
          <w:b/>
          <w:bCs/>
          <w:color w:val="3B2A5C"/>
          <w:sz w:val="20"/>
          <w:szCs w:val="20"/>
        </w:rPr>
        <w:t xml:space="preserve">lin ›  </w:t>
      </w:r>
      <w:r>
        <w:rPr>
          <w:rFonts w:ascii="Consolas" w:cs="Consolas" w:eastAsia="Consolas" w:hAnsi="Consolas"/>
          <w:color w:val="2B2B2B"/>
          <w:sz w:val="20"/>
          <w:szCs w:val="20"/>
        </w:rPr>
        <w:t xml:space="preserve">Fechado. Movi o card pra review, notifiquei o Bruno, abri o subtask de smoke test no mobile pra Isabel. Nada mais bloqueando auth.</w:t>
      </w:r>
    </w:p>
    <w:p>
      <w:pPr>
        <w:spacing w:before="160"/>
      </w:pPr>
      <w:r>
        <w:t xml:space="preserve">Observe: uma frase do desenvolvedor aciona cinco operações de gestão (movimentação de card, notificação, criação de subtask, atribuição e desbloqueio de dependência). Nenhuma delas precisou ser especificada. Este é o Lean operando via naming: cada ato de gestão que poderia ser feito manualmente foi absorvido pelo agente.</w:t>
      </w:r>
    </w:p>
    <w:p>
      <w:pPr>
        <w:spacing w:after="120" w:before="200"/>
      </w:pPr>
      <w:r>
        <w:rPr>
          <w:b/>
          <w:bCs/>
          <w:i/>
          <w:iCs/>
          <w:color w:val="6B4FA0"/>
          <w:sz w:val="22"/>
          <w:szCs w:val="22"/>
        </w:rPr>
        <w:t xml:space="preserve">Cenário 4 — Handoff entre disciplinas, sem fricção</w:t>
      </w:r>
    </w:p>
    <w:p>
      <w:pPr>
        <w:pBdr>
          <w:left w:val="single" w:color="6B4FA0" w:sz="16" w:space="8"/>
        </w:pBdr>
        <w:shd w:fill="F4F2F8" w:val="clear"/>
        <w:spacing w:after="60" w:line="280"/>
        <w:ind w:left="240"/>
      </w:pPr>
      <w:r>
        <w:rPr>
          <w:rFonts w:ascii="Consolas" w:cs="Consolas" w:eastAsia="Consolas" w:hAnsi="Consolas"/>
          <w:b/>
          <w:bCs/>
          <w:color w:val="6B4FA0"/>
          <w:sz w:val="20"/>
          <w:szCs w:val="20"/>
        </w:rPr>
        <w:t xml:space="preserve">dev ›  </w:t>
      </w:r>
      <w:r>
        <w:rPr>
          <w:rFonts w:ascii="Consolas" w:cs="Consolas" w:eastAsia="Consolas" w:hAnsi="Consolas"/>
          <w:color w:val="2B2B2B"/>
          <w:sz w:val="20"/>
          <w:szCs w:val="20"/>
        </w:rPr>
        <w:t xml:space="preserve">Lin, deixa o Bruno atualizado do que mudou no backend essa semana.</w:t>
      </w:r>
    </w:p>
    <w:p>
      <w:pPr>
        <w:spacing w:after="80"/>
      </w:pPr>
      <w:r>
        <w:t xml:space="preserve"/>
      </w:r>
    </w:p>
    <w:p>
      <w:pPr>
        <w:pBdr>
          <w:left w:val="single" w:color="3B2A5C" w:sz="16" w:space="8"/>
        </w:pBdr>
        <w:shd w:fill="F4F2F8" w:val="clear"/>
        <w:spacing w:after="60" w:line="280"/>
        <w:ind w:left="240"/>
      </w:pPr>
      <w:r>
        <w:rPr>
          <w:rFonts w:ascii="Consolas" w:cs="Consolas" w:eastAsia="Consolas" w:hAnsi="Consolas"/>
          <w:b/>
          <w:bCs/>
          <w:color w:val="3B2A5C"/>
          <w:sz w:val="20"/>
          <w:szCs w:val="20"/>
        </w:rPr>
        <w:t xml:space="preserve">lin ›  </w:t>
      </w:r>
      <w:r>
        <w:rPr>
          <w:rFonts w:ascii="Consolas" w:cs="Consolas" w:eastAsia="Consolas" w:hAnsi="Consolas"/>
          <w:color w:val="2B2B2B"/>
          <w:sz w:val="20"/>
          <w:szCs w:val="20"/>
        </w:rPr>
        <w:t xml:space="preserve">Feito. Resumo enviado no canal dele: dois contratos de API alterados, um endpoint deprecado, um novo em staging. Incluí os links dos PRs e uma tabela de breaking changes.</w:t>
      </w:r>
    </w:p>
    <w:p>
      <w:pPr>
        <w:spacing w:before="160"/>
      </w:pPr>
      <w:r>
        <w:t xml:space="preserve">Observe: handoffs entre frontend, backend e outras disciplinas são fonte clássica de desperdício no brandbook (tempo perdido com burocracia). Lin-Dev transforma um pedido verbal em comunicação estruturada, sem que o desenvolvedor precise escrever o resumo, linkar os PRs ou formatar a tabela.</w:t>
      </w:r>
    </w:p>
    <w:p>
      <w:pPr>
        <w:pStyle w:val="Heading3"/>
        <w:spacing w:after="100" w:before="220"/>
      </w:pPr>
      <w:r>
        <w:t xml:space="preserve">O que os quatro exemplos revelam sobre o nome</w:t>
      </w:r>
    </w:p>
    <w:p>
      <w:pPr>
        <w:spacing w:after="120" w:line="320"/>
      </w:pPr>
      <w:r>
        <w:t xml:space="preserve">Reúna os exemplos acima e três qualidades emergem, todas dependentes da escolha de Lin como núcleo:</w:t>
      </w:r>
    </w:p>
    <w:p>
      <w:pPr>
        <w:pStyle w:val="ListParagraph"/>
        <w:numPr>
          <w:ilvl w:val="0"/>
          <w:numId w:val="2"/>
        </w:numPr>
        <w:spacing w:after="80" w:line="300"/>
      </w:pPr>
      <w:r>
        <w:rPr>
          <w:b/>
          <w:bCs/>
        </w:rPr>
        <w:t xml:space="preserve">Vocativo natural. </w:t>
      </w:r>
      <w:r>
        <w:t xml:space="preserve">Lin, o que é mais urgente agora funciona como pergunta a um colega. Gestao, o que é mais urgente agora funciona como comando a uma ferramenta. A diferença linguística altera a relação do desenvolvedor com o produto.</w:t>
      </w:r>
    </w:p>
    <w:p>
      <w:pPr>
        <w:pStyle w:val="ListParagraph"/>
        <w:numPr>
          <w:ilvl w:val="0"/>
          <w:numId w:val="2"/>
        </w:numPr>
        <w:spacing w:after="80" w:line="300"/>
      </w:pPr>
      <w:r>
        <w:rPr>
          <w:b/>
          <w:bCs/>
        </w:rPr>
        <w:t xml:space="preserve">Agente, não interface. </w:t>
      </w:r>
      <w:r>
        <w:t xml:space="preserve">O desenvolvedor delega, não opera. O nome próprio humanizado viabiliza essa delegação de forma que descritores de categoria não viabilizam. Ninguém diz Jira, resolva isso.</w:t>
      </w:r>
    </w:p>
    <w:p>
      <w:pPr>
        <w:pStyle w:val="ListParagraph"/>
        <w:numPr>
          <w:ilvl w:val="0"/>
          <w:numId w:val="2"/>
        </w:numPr>
        <w:spacing w:after="80" w:line="300"/>
      </w:pPr>
      <w:r>
        <w:rPr>
          <w:b/>
          <w:bCs/>
        </w:rPr>
        <w:t xml:space="preserve">Resposta em forma de resultado. </w:t>
      </w:r>
      <w:r>
        <w:t xml:space="preserve">Observe que nenhuma resposta de Lin descreve processo ou pede confirmação. O lint também não pede confirmação antes de marcar um erro no editor. A marca opera no mesmo registro.</w:t>
      </w:r>
    </w:p>
    <w:p>
      <w:pPr>
        <w:spacing w:before="200"/>
      </w:pPr>
      <w:r>
        <w:t xml:space="preserve">Estes exemplos são o melhor material de demonstração do produto que a marca pode oferecer, e os quatro acima funcionam diretamente como conteúdo de landing page, vídeo de onboarding ou apresentação a investidores. O nome produz naturalmente a copy.</w:t>
      </w:r>
    </w:p>
    <w:p>
      <w:pPr>
        <w:pStyle w:val="Heading2"/>
        <w:spacing w:after="140" w:before="280"/>
      </w:pPr>
      <w:r>
        <w:t xml:space="preserve">2.5. Síntese das três camadas</w:t>
      </w:r>
    </w:p>
    <w:p>
      <w:pPr>
        <w:spacing w:after="120" w:line="320"/>
      </w:pPr>
      <w:r>
        <w:t xml:space="preserve">A tripla ancoragem não é acidente feliz. Ela existe porque a palavra Lin, enquanto som e enquanto abreviação, intersecta três vocabulários diferentes do mundo dev: metodológico (Lean), humano (Linus) e ferramental (Lint). Cada camada reforça as outras.</w:t>
      </w:r>
    </w:p>
    <w:p>
      <w:pPr>
        <w:spacing w:after="120" w:line="320"/>
      </w:pPr>
      <w:r>
        <w:t xml:space="preserve">Um desenvolvedor que pela primeira vez encontra o nome Lin-Dev em um post técnico processa, em sequência rápida, os três vetores de associação. Esse processamento cria uma rede de memória mais robusta do que qualquer campanha de branding poderia construir com investimento em mídia. A marca trabalha cognitivamente antes mesmo de o produto ser explicado.</w:t>
      </w:r>
    </w:p>
    <w:p>
      <w:pPr>
        <w:pBdr>
          <w:bottom w:val="single" w:color="3B2A5C" w:sz="8" w:space="1"/>
        </w:pBdr>
        <w:spacing w:after="200" w:before="200"/>
      </w:pPr>
      <w:r>
        <w:t xml:space="preserve"/>
      </w:r>
    </w:p>
    <w:p>
      <w:pPr>
        <w:pStyle w:val="Heading1"/>
        <w:spacing w:after="200" w:before="360"/>
      </w:pPr>
      <w:r>
        <w:t xml:space="preserve">3. Alinhamento com o brandbook</w:t>
      </w:r>
    </w:p>
    <w:p>
      <w:pPr>
        <w:spacing w:after="120" w:line="320"/>
      </w:pPr>
      <w:r>
        <w:t xml:space="preserve">Esta seção mapeia cada elemento central do brandbook de gestao.dev contra o nome Lin-Dev, evidenciando onde a escolha reforça a estratégia de marca e onde cria novas possibilidades que o nome anterior não sustentava.</w:t>
      </w:r>
    </w:p>
    <w:p>
      <w:pPr>
        <w:pStyle w:val="Heading2"/>
        <w:spacing w:after="140" w:before="280"/>
      </w:pPr>
      <w:r>
        <w:t xml:space="preserve">3.1. Propósito</w:t>
      </w:r>
    </w:p>
    <w:p>
      <w:pPr>
        <w:pBdr>
          <w:left w:val="single" w:color="3B2A5C" w:sz="24" w:space="12"/>
        </w:pBdr>
        <w:spacing w:after="200" w:before="160" w:line="320"/>
        <w:ind w:left="720"/>
      </w:pPr>
      <w:r>
        <w:rPr>
          <w:i/>
          <w:iCs/>
          <w:color w:val="555555"/>
          <w:sz w:val="22"/>
          <w:szCs w:val="22"/>
        </w:rPr>
        <w:t xml:space="preserve">Devolver ao dev o tempo que ferramentas de gestão roubam dele.</w:t>
      </w:r>
    </w:p>
    <w:p>
      <w:pPr>
        <w:spacing w:after="120" w:line="320"/>
      </w:pPr>
      <w:r>
        <w:t xml:space="preserve">O propósito do brandbook estabelece tempo como recurso escasso e ferramentas de gestão como agentes de seu desperdício. Lin-Dev, ao evocar Lint, posiciona-se como ferramenta que opera no lado oposto desse espectro: em vez de consumir tempo ativo do desenvolvedor, devolve tempo ao operar em background. O nome materializa o propósito em uma única analogia funcional.</w:t>
      </w:r>
    </w:p>
    <w:p>
      <w:pPr>
        <w:pStyle w:val="Heading2"/>
        <w:spacing w:after="140" w:before="280"/>
      </w:pPr>
      <w:r>
        <w:t xml:space="preserve">3.2. Promessa</w:t>
      </w:r>
    </w:p>
    <w:p>
      <w:pPr>
        <w:pBdr>
          <w:left w:val="single" w:color="3B2A5C" w:sz="24" w:space="12"/>
        </w:pBdr>
        <w:spacing w:after="200" w:before="160" w:line="320"/>
        <w:ind w:left="720"/>
      </w:pPr>
      <w:r>
        <w:rPr>
          <w:i/>
          <w:iCs/>
          <w:color w:val="555555"/>
          <w:sz w:val="22"/>
          <w:szCs w:val="22"/>
        </w:rPr>
        <w:t xml:space="preserve">A gestão que se resolve sozinha. O tempo que volta pro seu squad.</w:t>
      </w:r>
    </w:p>
    <w:p>
      <w:pPr>
        <w:spacing w:after="120" w:line="320"/>
      </w:pPr>
      <w:r>
        <w:t xml:space="preserve">A promessa exige que o produto seja percebido como agente autônomo, não como ferramenta operada. A escolha de nome próprio humanizado, Lin, suporta esta percepção de forma que um nome descritivo ou corporativo não suportaria. O usuário pode dizer Lin, quais tarefas pendentes no MCP, estabelecendo uma relação de delegação que Runrun, Jira ou Trello nunca permitiriam linguisticamente.</w:t>
      </w:r>
    </w:p>
    <w:p>
      <w:pPr>
        <w:spacing w:after="120" w:line="320"/>
      </w:pPr>
      <w:r>
        <w:t xml:space="preserve">A referência a Lint completa a promessa: o lint não é uma ferramenta que se opera, é uma ferramenta que opera. A transição de gestao.dev, que é descritor de categoria, para Lin-Dev, que é agente delegável, resolve uma tensão semântica que o nome anterior tinha com a promessa do brandbook.</w:t>
      </w:r>
    </w:p>
    <w:p>
      <w:pPr>
        <w:pStyle w:val="Heading2"/>
        <w:spacing w:after="140" w:before="280"/>
      </w:pPr>
      <w:r>
        <w:t xml:space="preserve">3.3. Território emocional</w:t>
      </w:r>
    </w:p>
    <w:p>
      <w:pPr>
        <w:pBdr>
          <w:left w:val="single" w:color="3B2A5C" w:sz="24" w:space="12"/>
        </w:pBdr>
        <w:spacing w:after="200" w:before="160" w:line="320"/>
        <w:ind w:left="720"/>
      </w:pPr>
      <w:r>
        <w:rPr>
          <w:i/>
          <w:iCs/>
          <w:color w:val="555555"/>
          <w:sz w:val="22"/>
          <w:szCs w:val="22"/>
        </w:rPr>
        <w:t xml:space="preserve">O alívio de abrir o board e ele já estar certo. Sem ter feito nada.</w:t>
      </w:r>
    </w:p>
    <w:p>
      <w:pPr>
        <w:spacing w:after="120" w:line="320"/>
      </w:pPr>
      <w:r>
        <w:t xml:space="preserve">Este território exige um nome que evoque leveza, fluidez e invisibilidade do esforço. Lin é curto, fluido e desprovido de dureza consonantal. Comparado a alternativas avaliadas como Vexa, Kreo ou Navex, que carregam aspereza fonética, Lin conduz o ouvido para uma sensação de suavidade coerente com o território emocional de alívio.</w:t>
      </w:r>
    </w:p>
    <w:p>
      <w:pPr>
        <w:spacing w:after="120" w:line="320"/>
      </w:pPr>
      <w:r>
        <w:t xml:space="preserve">A referência ao lint reforça o território: o desenvolvedor que abre o editor e encontra os problemas já identificados pelo lint vive exatamente a experiência do brandbook. Sem esforço consciente, a complexidade já foi processada.</w:t>
      </w:r>
    </w:p>
    <w:p>
      <w:pPr>
        <w:pStyle w:val="Heading2"/>
        <w:spacing w:after="140" w:before="280"/>
      </w:pPr>
      <w:r>
        <w:t xml:space="preserve">3.4. Inimigo declarado</w:t>
      </w:r>
    </w:p>
    <w:p>
      <w:pPr>
        <w:pBdr>
          <w:left w:val="single" w:color="3B2A5C" w:sz="24" w:space="12"/>
        </w:pBdr>
        <w:spacing w:after="200" w:before="160" w:line="320"/>
        <w:ind w:left="720"/>
      </w:pPr>
      <w:r>
        <w:rPr>
          <w:i/>
          <w:iCs/>
          <w:color w:val="555555"/>
          <w:sz w:val="22"/>
          <w:szCs w:val="22"/>
        </w:rPr>
        <w:t xml:space="preserve">Tempo perdido com burocracia.</w:t>
      </w:r>
    </w:p>
    <w:p>
      <w:pPr>
        <w:spacing w:after="120" w:line="320"/>
      </w:pPr>
      <w:r>
        <w:t xml:space="preserve">A ligação direta entre Lin e Lean, framework dedicado à eliminação de desperdício, transforma o nome em declaração de guerra ao inimigo do brandbook. Esta é uma ressonância que nenhum dos outros candidatos avaliados conseguia oferecer sem explicitação.</w:t>
      </w:r>
    </w:p>
    <w:p>
      <w:pPr>
        <w:pStyle w:val="Heading2"/>
        <w:spacing w:after="140" w:before="280"/>
      </w:pPr>
      <w:r>
        <w:t xml:space="preserve">3.5. Arquétipo primário: O Mago</w:t>
      </w:r>
    </w:p>
    <w:p>
      <w:pPr>
        <w:pBdr>
          <w:left w:val="single" w:color="3B2A5C" w:sz="24" w:space="12"/>
        </w:pBdr>
        <w:spacing w:after="200" w:before="160" w:line="320"/>
        <w:ind w:left="720"/>
      </w:pPr>
      <w:r>
        <w:rPr>
          <w:i/>
          <w:iCs/>
          <w:color w:val="555555"/>
          <w:sz w:val="22"/>
          <w:szCs w:val="22"/>
        </w:rPr>
        <w:t xml:space="preserve">Transformação real de engenharia que parece mágica.</w:t>
      </w:r>
    </w:p>
    <w:p>
      <w:pPr>
        <w:spacing w:after="120" w:line="320"/>
      </w:pPr>
      <w:r>
        <w:t xml:space="preserve">O arquétipo do Mago exige um nome curto, evocativo e de tom quase cerimonial. Nomes de magos icônicos na cultura popular são curtos e contêm sonoridade suave ou misteriosa: Merlin, Gandalf, Morgana, Hermione. Lin encaixa neste padrão fonético. A brevidade sugere nome verdadeiro, no sentido mítico em que nomes curtos carregam poder oculto.</w:t>
      </w:r>
    </w:p>
    <w:p>
      <w:pPr>
        <w:spacing w:after="120" w:line="320"/>
      </w:pPr>
      <w:r>
        <w:t xml:space="preserve">A conexão com Lint reforça o arquétipo em sua dimensão funcional: a mágica do Mago não é espetáculo, é transformação silenciosa que se revela apenas em resultado. O lint transforma código sem que o desenvolvedor veja o processo. Lin-Dev, por design, deve fazer o mesmo com a gestão.</w:t>
      </w:r>
    </w:p>
    <w:p>
      <w:pPr>
        <w:pStyle w:val="Heading2"/>
        <w:spacing w:after="140" w:before="280"/>
      </w:pPr>
      <w:r>
        <w:t xml:space="preserve">3.6. Arquétipo secundário: O Criador</w:t>
      </w:r>
    </w:p>
    <w:p>
      <w:pPr>
        <w:pBdr>
          <w:left w:val="single" w:color="3B2A5C" w:sz="24" w:space="12"/>
        </w:pBdr>
        <w:spacing w:after="200" w:before="160" w:line="320"/>
        <w:ind w:left="720"/>
      </w:pPr>
      <w:r>
        <w:rPr>
          <w:i/>
          <w:iCs/>
          <w:color w:val="555555"/>
          <w:sz w:val="22"/>
          <w:szCs w:val="22"/>
        </w:rPr>
        <w:t xml:space="preserve">Craft, Geist, deep purple, gema animada.</w:t>
      </w:r>
    </w:p>
    <w:p>
      <w:pPr>
        <w:spacing w:after="120" w:line="320"/>
      </w:pPr>
      <w:r>
        <w:t xml:space="preserve">O arquétipo do Criador exige suporte visual a materialidade artesanal. Lin, por ser curto e tipograficamente limpo, permite explorações visuais sofisticadas: o hífen pode ser estilizado como um bastão, como uma linha de comando, como uma conexão entre dimensões. A identidade visual encontra espaço para desenvolver simbologia própria sem competir com o peso do nome.</w:t>
      </w:r>
    </w:p>
    <w:p>
      <w:pPr>
        <w:spacing w:after="120" w:line="320"/>
      </w:pPr>
      <w:r>
        <w:t xml:space="preserve">Em contraste, nomes mais longos como Uveo ou Vyra consomem protagonismo visual, dificultando que a identidade visual opere com a profundidade que o arquétipo do Criador demanda.</w:t>
      </w:r>
    </w:p>
    <w:p>
      <w:pPr>
        <w:pStyle w:val="Heading2"/>
        <w:spacing w:after="140" w:before="280"/>
      </w:pPr>
      <w:r>
        <w:t xml:space="preserve">3.7. Regra de ouro</w:t>
      </w:r>
    </w:p>
    <w:p>
      <w:pPr>
        <w:pBdr>
          <w:left w:val="single" w:color="3B2A5C" w:sz="24" w:space="12"/>
        </w:pBdr>
        <w:spacing w:after="200" w:before="160" w:line="320"/>
        <w:ind w:left="720"/>
      </w:pPr>
      <w:r>
        <w:rPr>
          <w:i/>
          <w:iCs/>
          <w:color w:val="555555"/>
          <w:sz w:val="22"/>
          <w:szCs w:val="22"/>
        </w:rPr>
        <w:t xml:space="preserve">IA nunca é protagonista. Protagonista é o tempo devolvido e a clareza.</w:t>
      </w:r>
    </w:p>
    <w:p>
      <w:pPr>
        <w:spacing w:after="120" w:line="320"/>
      </w:pPr>
      <w:r>
        <w:t xml:space="preserve">Esta regra é onde Lin-Dev mais supera o nome gestao.dev. O nome anterior nomeava a categoria (gestão), forçando o produto a competir pela posição genérica de ferramenta de gestão. Lin-Dev nomeia um agente que devolve algo ao desenvolvedor, colocando o protagonismo no beneficiário da ação, não no meio.</w:t>
      </w:r>
    </w:p>
    <w:p>
      <w:pPr>
        <w:spacing w:after="120" w:line="320"/>
      </w:pPr>
      <w:r>
        <w:t xml:space="preserve">Adicionalmente, ao não conter a palavra IA, assistente, agente, bot ou qualquer descritor tecnológico, o nome respeita a regra de que a tecnologia é meio, não fim. Lin é simplesmente Lin. O que Lin faz é o que importa.</w:t>
      </w:r>
    </w:p>
    <w:p>
      <w:pPr>
        <w:pBdr>
          <w:bottom w:val="single" w:color="3B2A5C" w:sz="8" w:space="1"/>
        </w:pBdr>
        <w:spacing w:after="200" w:before="200"/>
      </w:pPr>
      <w:r>
        <w:t xml:space="preserve"/>
      </w:r>
    </w:p>
    <w:p>
      <w:pPr>
        <w:pStyle w:val="Heading1"/>
        <w:spacing w:after="200" w:before="360"/>
      </w:pPr>
      <w:r>
        <w:t xml:space="preserve">4. A escolha do separador: por que o hífen</w:t>
      </w:r>
    </w:p>
    <w:p>
      <w:pPr>
        <w:spacing w:after="120" w:line="320"/>
      </w:pPr>
      <w:r>
        <w:t xml:space="preserve">A decisão por Lin-Dev em vez de Lin/Dev merece registro formal, dado que a barra diagonal era o formato original considerado e é comum em marcas adjacentes. Esta seção documenta a análise que levou ao hífen.</w:t>
      </w:r>
    </w:p>
    <w:p>
      <w:pPr>
        <w:pStyle w:val="Heading2"/>
        <w:spacing w:after="140" w:before="280"/>
      </w:pPr>
      <w:r>
        <w:t xml:space="preserve">4.1. Semiótica em ambiente técnico</w:t>
      </w:r>
    </w:p>
    <w:p>
      <w:pPr>
        <w:spacing w:after="120" w:line="320"/>
      </w:pPr>
      <w:r>
        <w:t xml:space="preserve">Para desenvolvedores, separadores tipográficos carregam significado operacional, não apenas estético. A leitura destes caracteres é pré-consciente e ocorre antes da interpretação deliberada da marca.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rPr>
          <w:tblHeader/>
        </w:trPr>
        <w:tc>
          <w:tcPr>
            <w:tcW w:type="dxa" w:w="1560"/>
            <w:tcBorders>
              <w:top w:val="single" w:color="D4CEE0" w:sz="4"/>
              <w:left w:val="single" w:color="D4CEE0" w:sz="4"/>
              <w:bottom w:val="single" w:color="D4CEE0" w:sz="4"/>
              <w:right w:val="single" w:color="D4CEE0" w:sz="4"/>
            </w:tcBorders>
            <w:shd w:fill="3B2A5C" w:val="clear"/>
            <w:tcMar>
              <w:top w:type="dxa" w:w="120"/>
              <w:left w:type="dxa" w:w="160"/>
              <w:bottom w:type="dxa" w:w="120"/>
              <w:right w:type="dxa" w:w="160"/>
            </w:tcMar>
          </w:tcPr>
          <w:p>
            <w:pPr>
              <w:spacing w:after="0"/>
            </w:pPr>
            <w:r>
              <w:rPr>
                <w:b/>
                <w:bCs/>
                <w:color w:val="FFFFFF"/>
                <w:sz w:val="22"/>
                <w:szCs w:val="22"/>
              </w:rPr>
              <w:t xml:space="preserve">Caractere</w:t>
            </w:r>
          </w:p>
        </w:tc>
        <w:tc>
          <w:tcPr>
            <w:tcW w:type="dxa" w:w="3900"/>
            <w:tcBorders>
              <w:top w:val="single" w:color="D4CEE0" w:sz="4"/>
              <w:left w:val="single" w:color="D4CEE0" w:sz="4"/>
              <w:bottom w:val="single" w:color="D4CEE0" w:sz="4"/>
              <w:right w:val="single" w:color="D4CEE0" w:sz="4"/>
            </w:tcBorders>
            <w:shd w:fill="3B2A5C" w:val="clear"/>
            <w:tcMar>
              <w:top w:type="dxa" w:w="120"/>
              <w:left w:type="dxa" w:w="160"/>
              <w:bottom w:type="dxa" w:w="120"/>
              <w:right w:type="dxa" w:w="160"/>
            </w:tcMar>
          </w:tcPr>
          <w:p>
            <w:pPr>
              <w:spacing w:after="0"/>
            </w:pPr>
            <w:r>
              <w:rPr>
                <w:b/>
                <w:bCs/>
                <w:color w:val="FFFFFF"/>
                <w:sz w:val="22"/>
                <w:szCs w:val="22"/>
              </w:rPr>
              <w:t xml:space="preserve">Significado em código</w:t>
            </w:r>
          </w:p>
        </w:tc>
        <w:tc>
          <w:tcPr>
            <w:tcW w:type="dxa" w:w="3900"/>
            <w:tcBorders>
              <w:top w:val="single" w:color="D4CEE0" w:sz="4"/>
              <w:left w:val="single" w:color="D4CEE0" w:sz="4"/>
              <w:bottom w:val="single" w:color="D4CEE0" w:sz="4"/>
              <w:right w:val="single" w:color="D4CEE0" w:sz="4"/>
            </w:tcBorders>
            <w:shd w:fill="3B2A5C" w:val="clear"/>
            <w:tcMar>
              <w:top w:type="dxa" w:w="120"/>
              <w:left w:type="dxa" w:w="160"/>
              <w:bottom w:type="dxa" w:w="120"/>
              <w:right w:type="dxa" w:w="160"/>
            </w:tcMar>
          </w:tcPr>
          <w:p>
            <w:pPr>
              <w:spacing w:after="0"/>
            </w:pPr>
            <w:r>
              <w:rPr>
                <w:b/>
                <w:bCs/>
                <w:color w:val="FFFFFF"/>
                <w:sz w:val="22"/>
                <w:szCs w:val="22"/>
              </w:rPr>
              <w:t xml:space="preserve">Leitura resultante</w:t>
            </w:r>
          </w:p>
        </w:tc>
      </w:tr>
      <w:tr>
        <w:tc>
          <w:tcPr>
            <w:tcW w:type="dxa" w:w="1560"/>
            <w:tcBorders>
              <w:top w:val="single" w:color="D4CEE0" w:sz="4"/>
              <w:left w:val="single" w:color="D4CEE0" w:sz="4"/>
              <w:bottom w:val="single" w:color="D4CEE0" w:sz="4"/>
              <w:right w:val="single" w:color="D4CEE0" w:sz="4"/>
            </w:tcBorders>
            <w:tcMar>
              <w:top w:type="dxa" w:w="120"/>
              <w:left w:type="dxa" w:w="160"/>
              <w:bottom w:type="dxa" w:w="120"/>
              <w:right w:type="dxa" w:w="160"/>
            </w:tcMar>
          </w:tcPr>
          <w:p>
            <w:pPr>
              <w:spacing w:after="0"/>
            </w:pPr>
            <w:r>
              <w:rPr>
                <w:b/>
                <w:bCs/>
                <w:color w:val="2B2B2B"/>
                <w:sz w:val="22"/>
                <w:szCs w:val="22"/>
              </w:rPr>
              <w:t xml:space="preserve">/</w:t>
            </w:r>
          </w:p>
        </w:tc>
        <w:tc>
          <w:tcPr>
            <w:tcW w:type="dxa" w:w="3900"/>
            <w:tcBorders>
              <w:top w:val="single" w:color="D4CEE0" w:sz="4"/>
              <w:left w:val="single" w:color="D4CEE0" w:sz="4"/>
              <w:bottom w:val="single" w:color="D4CEE0" w:sz="4"/>
              <w:right w:val="single" w:color="D4CEE0" w:sz="4"/>
            </w:tcBorders>
            <w:tcMar>
              <w:top w:type="dxa" w:w="120"/>
              <w:left w:type="dxa" w:w="160"/>
              <w:bottom w:type="dxa" w:w="120"/>
              <w:right w:type="dxa" w:w="160"/>
            </w:tcMar>
          </w:tcPr>
          <w:p>
            <w:pPr>
              <w:spacing w:after="0"/>
            </w:pPr>
            <w:r>
              <w:rPr>
                <w:color w:val="2B2B2B"/>
                <w:sz w:val="22"/>
                <w:szCs w:val="22"/>
              </w:rPr>
              <w:t xml:space="preserve">Divisão, separador de path, delimitador de regex, fechamento de tag HTML</w:t>
            </w:r>
          </w:p>
        </w:tc>
        <w:tc>
          <w:tcPr>
            <w:tcW w:type="dxa" w:w="3900"/>
            <w:tcBorders>
              <w:top w:val="single" w:color="D4CEE0" w:sz="4"/>
              <w:left w:val="single" w:color="D4CEE0" w:sz="4"/>
              <w:bottom w:val="single" w:color="D4CEE0" w:sz="4"/>
              <w:right w:val="single" w:color="D4CEE0" w:sz="4"/>
            </w:tcBorders>
            <w:tcMar>
              <w:top w:type="dxa" w:w="120"/>
              <w:left w:type="dxa" w:w="160"/>
              <w:bottom w:type="dxa" w:w="120"/>
              <w:right w:type="dxa" w:w="160"/>
            </w:tcMar>
          </w:tcPr>
          <w:p>
            <w:pPr>
              <w:spacing w:after="0"/>
            </w:pPr>
            <w:r>
              <w:rPr>
                <w:color w:val="2B2B2B"/>
                <w:sz w:val="22"/>
                <w:szCs w:val="22"/>
              </w:rPr>
              <w:t xml:space="preserve">Quebra, hierarquia, Lin subordinado a Dev</w:t>
            </w:r>
          </w:p>
        </w:tc>
      </w:tr>
      <w:tr>
        <w:tc>
          <w:tcPr>
            <w:tcW w:type="dxa" w:w="1560"/>
            <w:tcBorders>
              <w:top w:val="single" w:color="D4CEE0" w:sz="4"/>
              <w:left w:val="single" w:color="D4CEE0" w:sz="4"/>
              <w:bottom w:val="single" w:color="D4CEE0" w:sz="4"/>
              <w:right w:val="single" w:color="D4CEE0" w:sz="4"/>
            </w:tcBorders>
            <w:shd w:fill="F4F2F8" w:val="clear"/>
            <w:tcMar>
              <w:top w:type="dxa" w:w="120"/>
              <w:left w:type="dxa" w:w="160"/>
              <w:bottom w:type="dxa" w:w="120"/>
              <w:right w:type="dxa" w:w="160"/>
            </w:tcMar>
          </w:tcPr>
          <w:p>
            <w:pPr>
              <w:spacing w:after="0"/>
            </w:pPr>
            <w:r>
              <w:rPr>
                <w:b/>
                <w:bCs/>
                <w:color w:val="2B2B2B"/>
                <w:sz w:val="22"/>
                <w:szCs w:val="22"/>
              </w:rPr>
              <w:t xml:space="preserve">-</w:t>
            </w:r>
          </w:p>
        </w:tc>
        <w:tc>
          <w:tcPr>
            <w:tcW w:type="dxa" w:w="3900"/>
            <w:tcBorders>
              <w:top w:val="single" w:color="D4CEE0" w:sz="4"/>
              <w:left w:val="single" w:color="D4CEE0" w:sz="4"/>
              <w:bottom w:val="single" w:color="D4CEE0" w:sz="4"/>
              <w:right w:val="single" w:color="D4CEE0" w:sz="4"/>
            </w:tcBorders>
            <w:shd w:fill="F4F2F8" w:val="clear"/>
            <w:tcMar>
              <w:top w:type="dxa" w:w="120"/>
              <w:left w:type="dxa" w:w="160"/>
              <w:bottom w:type="dxa" w:w="120"/>
              <w:right w:type="dxa" w:w="160"/>
            </w:tcMar>
          </w:tcPr>
          <w:p>
            <w:pPr>
              <w:spacing w:after="0"/>
            </w:pPr>
            <w:r>
              <w:rPr>
                <w:color w:val="2B2B2B"/>
                <w:sz w:val="22"/>
                <w:szCs w:val="22"/>
              </w:rPr>
              <w:t xml:space="preserve">Kebab-case, flag de CLI, hífen em nomes de pacote npm, classes CSS</w:t>
            </w:r>
          </w:p>
        </w:tc>
        <w:tc>
          <w:tcPr>
            <w:tcW w:type="dxa" w:w="3900"/>
            <w:tcBorders>
              <w:top w:val="single" w:color="D4CEE0" w:sz="4"/>
              <w:left w:val="single" w:color="D4CEE0" w:sz="4"/>
              <w:bottom w:val="single" w:color="D4CEE0" w:sz="4"/>
              <w:right w:val="single" w:color="D4CEE0" w:sz="4"/>
            </w:tcBorders>
            <w:shd w:fill="F4F2F8" w:val="clear"/>
            <w:tcMar>
              <w:top w:type="dxa" w:w="120"/>
              <w:left w:type="dxa" w:w="160"/>
              <w:bottom w:type="dxa" w:w="120"/>
              <w:right w:type="dxa" w:w="160"/>
            </w:tcMar>
          </w:tcPr>
          <w:p>
            <w:pPr>
              <w:spacing w:after="0"/>
            </w:pPr>
            <w:r>
              <w:rPr>
                <w:color w:val="2B2B2B"/>
                <w:sz w:val="22"/>
                <w:szCs w:val="22"/>
              </w:rPr>
              <w:t xml:space="preserve">Continuidade, pertencimento, Lin e Dev como unidade</w:t>
            </w:r>
          </w:p>
        </w:tc>
      </w:tr>
    </w:tbl>
    <w:p>
      <w:pPr>
        <w:spacing w:before="200"/>
      </w:pPr>
      <w:r>
        <w:t xml:space="preserve">O brandbook aponta consistentemente para fluxo, continuidade e ausência de atrito. A barra diagonal introduz atrito visual; o hífen flui. A escolha de separador deve respeitar o território emocional da marca, não contradizê-lo.</w:t>
      </w:r>
    </w:p>
    <w:p>
      <w:pPr>
        <w:pStyle w:val="Heading2"/>
        <w:spacing w:after="140" w:before="280"/>
      </w:pPr>
      <w:r>
        <w:t xml:space="preserve">4.2. Compatibilidade técnica</w:t>
      </w:r>
    </w:p>
    <w:p>
      <w:pPr>
        <w:spacing w:after="120" w:line="320"/>
      </w:pPr>
      <w:r>
        <w:t xml:space="preserve">Além da semiótica, há razões estritamente operacionais que tornam o hífen superior:</w:t>
      </w:r>
    </w:p>
    <w:p>
      <w:pPr>
        <w:pStyle w:val="ListParagraph"/>
        <w:numPr>
          <w:ilvl w:val="0"/>
          <w:numId w:val="2"/>
        </w:numPr>
        <w:spacing w:after="80" w:line="300"/>
      </w:pPr>
      <w:r>
        <w:rPr>
          <w:b w:val="false"/>
          <w:bCs w:val="false"/>
        </w:rPr>
        <w:t xml:space="preserve">Domínio. URLs não aceitam barra diagonal em nomes de domínio. lin-dev.com.br é URL válida; lin/dev.com.br não existe.</w:t>
      </w:r>
    </w:p>
    <w:p>
      <w:pPr>
        <w:pStyle w:val="ListParagraph"/>
        <w:numPr>
          <w:ilvl w:val="0"/>
          <w:numId w:val="2"/>
        </w:numPr>
        <w:spacing w:after="80" w:line="300"/>
      </w:pPr>
      <w:r>
        <w:rPr>
          <w:b w:val="false"/>
          <w:bCs w:val="false"/>
        </w:rPr>
        <w:t xml:space="preserve">Pacotes npm. A barra diagonal no npm indica escope, como em @scope/package. Usar lin/dev implicaria existência de uma organização lin publicando um pacote dev, semântica incorreta.</w:t>
      </w:r>
    </w:p>
    <w:p>
      <w:pPr>
        <w:pStyle w:val="ListParagraph"/>
        <w:numPr>
          <w:ilvl w:val="0"/>
          <w:numId w:val="2"/>
        </w:numPr>
        <w:spacing w:after="80" w:line="300"/>
      </w:pPr>
      <w:r>
        <w:rPr>
          <w:b w:val="false"/>
          <w:bCs w:val="false"/>
        </w:rPr>
        <w:t xml:space="preserve">Repositórios GitHub. URLs de repositório usam barra para separar organização e projeto. github.com/ciatech/lin-dev é estrutura canônica.</w:t>
      </w:r>
    </w:p>
    <w:p>
      <w:pPr>
        <w:pStyle w:val="ListParagraph"/>
        <w:numPr>
          <w:ilvl w:val="0"/>
          <w:numId w:val="2"/>
        </w:numPr>
        <w:spacing w:after="80" w:line="300"/>
      </w:pPr>
      <w:r>
        <w:rPr>
          <w:b w:val="false"/>
          <w:bCs w:val="false"/>
        </w:rPr>
        <w:t xml:space="preserve">CLIs. Comandos como lin-dev init seguem convenção universal do ecossistema de ferramentas de linha de comando.</w:t>
      </w:r>
    </w:p>
    <w:p>
      <w:pPr>
        <w:pStyle w:val="ListParagraph"/>
        <w:numPr>
          <w:ilvl w:val="0"/>
          <w:numId w:val="2"/>
        </w:numPr>
        <w:spacing w:after="80" w:line="300"/>
      </w:pPr>
      <w:r>
        <w:rPr>
          <w:b w:val="false"/>
          <w:bCs w:val="false"/>
        </w:rPr>
        <w:t xml:space="preserve">SEO. Buscadores tratam hífen como separador de palavras e barra como estrutura de caminho, com implicações distintas para indexação.</w:t>
      </w:r>
    </w:p>
    <w:p>
      <w:pPr>
        <w:spacing w:before="200"/>
      </w:pPr>
      <w:r>
        <w:t xml:space="preserve">Em todos os contextos técnicos relevantes, o hífen funciona e a barra diagonal não funciona ou introduz semântica indesejada. Esta é uma assimetria prática que torna a escolha objetiva.</w:t>
      </w:r>
    </w:p>
    <w:p>
      <w:pPr>
        <w:pStyle w:val="Heading2"/>
        <w:spacing w:after="140" w:before="280"/>
      </w:pPr>
      <w:r>
        <w:t xml:space="preserve">4.3. Estratégia de remoção futura do sufixo</w:t>
      </w:r>
    </w:p>
    <w:p>
      <w:pPr>
        <w:spacing w:after="120" w:line="320"/>
      </w:pPr>
      <w:r>
        <w:t xml:space="preserve">O sufixo Dev foi adotado temporariamente para suportar o posicionamento inicial focado em desenvolvedores. A médio prazo, à medida que a marca amadurecer e o produto expandir para além do público estritamente técnico, o sufixo deve ser removido, deixando apenas Lin.</w:t>
      </w:r>
    </w:p>
    <w:p>
      <w:pPr>
        <w:spacing w:after="120" w:line="320"/>
      </w:pPr>
      <w:r>
        <w:t xml:space="preserve">O formato com hífen facilita esta transição. Lin-Dev, ao remover Dev, torna-se naturalmente Lin. A operação é subtrativa e limpa. Esta estratégia segue o precedente de marcas que abandonaram qualificadores iniciais, como Apple Computer, que se tornou simplesmente Apple, e Dunder Mifflin Paper, que na ficção se estabelece como Dunder Mifflin.</w:t>
      </w:r>
    </w:p>
    <w:p>
      <w:pPr>
        <w:pBdr>
          <w:bottom w:val="single" w:color="3B2A5C" w:sz="8" w:space="1"/>
        </w:pBdr>
        <w:spacing w:after="200" w:before="200"/>
      </w:pPr>
      <w:r>
        <w:t xml:space="preserve"/>
      </w:r>
    </w:p>
    <w:p>
      <w:pPr>
        <w:pStyle w:val="Heading1"/>
        <w:spacing w:after="200" w:before="360"/>
      </w:pPr>
      <w:r>
        <w:t xml:space="preserve">5. Mapeamento de ativos digitais</w:t>
      </w:r>
    </w:p>
    <w:p>
      <w:pPr>
        <w:spacing w:after="120" w:line="320"/>
      </w:pPr>
      <w:r>
        <w:t xml:space="preserve">Esta seção inventaria os ativos digitais a serem assegurados como parte da execução do rebrand, em ordem de prioridade.</w:t>
      </w:r>
    </w:p>
    <w:p>
      <w:pPr>
        <w:pStyle w:val="Heading2"/>
        <w:spacing w:after="140" w:before="280"/>
      </w:pPr>
      <w:r>
        <w:t xml:space="preserve">5.1. Domínios</w:t>
      </w:r>
    </w:p>
    <w:p>
      <w:pPr>
        <w:spacing w:after="120" w:line="320"/>
      </w:pPr>
      <w:r>
        <w:t xml:space="preserve">Recomendação: adquirir no mínimo um domínio brasileiro prioritário e um domínio internacional de reforço. Orçamento estimado: R$ 40 reais ao ano para o domínio brasileiro e aproximadamente 15 dólares americanos ao ano para o domínio internacional, conforme o padrão do registro.br e dos registrars internacionais.</w:t>
      </w:r>
    </w:p>
    <w:p>
      <w:pPr>
        <w:pStyle w:val="Heading3"/>
        <w:spacing w:after="100" w:before="220"/>
      </w:pPr>
      <w:r>
        <w:t xml:space="preserve">Prioridade alta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3900"/>
      </w:tblGrid>
      <w:tr>
        <w:trPr>
          <w:tblHeader/>
        </w:trPr>
        <w:tc>
          <w:tcPr>
            <w:tcW w:type="dxa" w:w="3120"/>
            <w:tcBorders>
              <w:top w:val="single" w:color="D4CEE0" w:sz="4"/>
              <w:left w:val="single" w:color="D4CEE0" w:sz="4"/>
              <w:bottom w:val="single" w:color="D4CEE0" w:sz="4"/>
              <w:right w:val="single" w:color="D4CEE0" w:sz="4"/>
            </w:tcBorders>
            <w:shd w:fill="3B2A5C" w:val="clear"/>
            <w:tcMar>
              <w:top w:type="dxa" w:w="120"/>
              <w:left w:type="dxa" w:w="160"/>
              <w:bottom w:type="dxa" w:w="120"/>
              <w:right w:type="dxa" w:w="160"/>
            </w:tcMar>
          </w:tcPr>
          <w:p>
            <w:pPr>
              <w:spacing w:after="0"/>
            </w:pPr>
            <w:r>
              <w:rPr>
                <w:b/>
                <w:bCs/>
                <w:color w:val="FFFFFF"/>
                <w:sz w:val="22"/>
                <w:szCs w:val="22"/>
              </w:rPr>
              <w:t xml:space="preserve">Domínio</w:t>
            </w:r>
          </w:p>
        </w:tc>
        <w:tc>
          <w:tcPr>
            <w:tcW w:type="dxa" w:w="2340"/>
            <w:tcBorders>
              <w:top w:val="single" w:color="D4CEE0" w:sz="4"/>
              <w:left w:val="single" w:color="D4CEE0" w:sz="4"/>
              <w:bottom w:val="single" w:color="D4CEE0" w:sz="4"/>
              <w:right w:val="single" w:color="D4CEE0" w:sz="4"/>
            </w:tcBorders>
            <w:shd w:fill="3B2A5C" w:val="clear"/>
            <w:tcMar>
              <w:top w:type="dxa" w:w="120"/>
              <w:left w:type="dxa" w:w="160"/>
              <w:bottom w:type="dxa" w:w="120"/>
              <w:right w:type="dxa" w:w="160"/>
            </w:tcMar>
          </w:tcPr>
          <w:p>
            <w:pPr>
              <w:spacing w:after="0"/>
            </w:pPr>
            <w:r>
              <w:rPr>
                <w:b/>
                <w:bCs/>
                <w:color w:val="FFFFFF"/>
                <w:sz w:val="22"/>
                <w:szCs w:val="22"/>
              </w:rPr>
              <w:t xml:space="preserve">Tipo</w:t>
            </w:r>
          </w:p>
        </w:tc>
        <w:tc>
          <w:tcPr>
            <w:tcW w:type="dxa" w:w="3900"/>
            <w:tcBorders>
              <w:top w:val="single" w:color="D4CEE0" w:sz="4"/>
              <w:left w:val="single" w:color="D4CEE0" w:sz="4"/>
              <w:bottom w:val="single" w:color="D4CEE0" w:sz="4"/>
              <w:right w:val="single" w:color="D4CEE0" w:sz="4"/>
            </w:tcBorders>
            <w:shd w:fill="3B2A5C" w:val="clear"/>
            <w:tcMar>
              <w:top w:type="dxa" w:w="120"/>
              <w:left w:type="dxa" w:w="160"/>
              <w:bottom w:type="dxa" w:w="120"/>
              <w:right w:type="dxa" w:w="160"/>
            </w:tcMar>
          </w:tcPr>
          <w:p>
            <w:pPr>
              <w:spacing w:after="0"/>
            </w:pPr>
            <w:r>
              <w:rPr>
                <w:b/>
                <w:bCs/>
                <w:color w:val="FFFFFF"/>
                <w:sz w:val="22"/>
                <w:szCs w:val="22"/>
              </w:rPr>
              <w:t xml:space="preserve">Racional</w:t>
            </w:r>
          </w:p>
        </w:tc>
      </w:tr>
      <w:tr>
        <w:tc>
          <w:tcPr>
            <w:tcW w:type="dxa" w:w="3120"/>
            <w:tcBorders>
              <w:top w:val="single" w:color="D4CEE0" w:sz="4"/>
              <w:left w:val="single" w:color="D4CEE0" w:sz="4"/>
              <w:bottom w:val="single" w:color="D4CEE0" w:sz="4"/>
              <w:right w:val="single" w:color="D4CEE0" w:sz="4"/>
            </w:tcBorders>
            <w:tcMar>
              <w:top w:type="dxa" w:w="120"/>
              <w:left w:type="dxa" w:w="160"/>
              <w:bottom w:type="dxa" w:w="120"/>
              <w:right w:type="dxa" w:w="160"/>
            </w:tcMar>
          </w:tcPr>
          <w:p>
            <w:pPr>
              <w:spacing w:after="0"/>
            </w:pPr>
            <w:r>
              <w:rPr>
                <w:b/>
                <w:bCs/>
                <w:color w:val="2B2B2B"/>
                <w:sz w:val="22"/>
                <w:szCs w:val="22"/>
              </w:rPr>
              <w:t xml:space="preserve">lin-dev.com.br</w:t>
            </w:r>
          </w:p>
        </w:tc>
        <w:tc>
          <w:tcPr>
            <w:tcW w:type="dxa" w:w="2340"/>
            <w:tcBorders>
              <w:top w:val="single" w:color="D4CEE0" w:sz="4"/>
              <w:left w:val="single" w:color="D4CEE0" w:sz="4"/>
              <w:bottom w:val="single" w:color="D4CEE0" w:sz="4"/>
              <w:right w:val="single" w:color="D4CEE0" w:sz="4"/>
            </w:tcBorders>
            <w:tcMar>
              <w:top w:type="dxa" w:w="120"/>
              <w:left w:type="dxa" w:w="160"/>
              <w:bottom w:type="dxa" w:w="120"/>
              <w:right w:type="dxa" w:w="160"/>
            </w:tcMar>
          </w:tcPr>
          <w:p>
            <w:pPr>
              <w:spacing w:after="0"/>
            </w:pPr>
            <w:r>
              <w:rPr>
                <w:color w:val="2B2B2B"/>
                <w:sz w:val="22"/>
                <w:szCs w:val="22"/>
              </w:rPr>
              <w:t xml:space="preserve">Brasil</w:t>
            </w:r>
          </w:p>
        </w:tc>
        <w:tc>
          <w:tcPr>
            <w:tcW w:type="dxa" w:w="3900"/>
            <w:tcBorders>
              <w:top w:val="single" w:color="D4CEE0" w:sz="4"/>
              <w:left w:val="single" w:color="D4CEE0" w:sz="4"/>
              <w:bottom w:val="single" w:color="D4CEE0" w:sz="4"/>
              <w:right w:val="single" w:color="D4CEE0" w:sz="4"/>
            </w:tcBorders>
            <w:tcMar>
              <w:top w:type="dxa" w:w="120"/>
              <w:left w:type="dxa" w:w="160"/>
              <w:bottom w:type="dxa" w:w="120"/>
              <w:right w:type="dxa" w:w="160"/>
            </w:tcMar>
          </w:tcPr>
          <w:p>
            <w:pPr>
              <w:spacing w:after="0"/>
            </w:pPr>
            <w:r>
              <w:rPr>
                <w:color w:val="2B2B2B"/>
                <w:sz w:val="22"/>
                <w:szCs w:val="22"/>
              </w:rPr>
              <w:t xml:space="preserve">Reflexo exato da marca visual. Preferencial.</w:t>
            </w:r>
          </w:p>
        </w:tc>
      </w:tr>
      <w:tr>
        <w:tc>
          <w:tcPr>
            <w:tcW w:type="dxa" w:w="3120"/>
            <w:tcBorders>
              <w:top w:val="single" w:color="D4CEE0" w:sz="4"/>
              <w:left w:val="single" w:color="D4CEE0" w:sz="4"/>
              <w:bottom w:val="single" w:color="D4CEE0" w:sz="4"/>
              <w:right w:val="single" w:color="D4CEE0" w:sz="4"/>
            </w:tcBorders>
            <w:shd w:fill="F4F2F8" w:val="clear"/>
            <w:tcMar>
              <w:top w:type="dxa" w:w="120"/>
              <w:left w:type="dxa" w:w="160"/>
              <w:bottom w:type="dxa" w:w="120"/>
              <w:right w:type="dxa" w:w="160"/>
            </w:tcMar>
          </w:tcPr>
          <w:p>
            <w:pPr>
              <w:spacing w:after="0"/>
            </w:pPr>
            <w:r>
              <w:rPr>
                <w:b/>
                <w:bCs/>
                <w:color w:val="2B2B2B"/>
                <w:sz w:val="22"/>
                <w:szCs w:val="22"/>
              </w:rPr>
              <w:t xml:space="preserve">lindev.com.br</w:t>
            </w:r>
          </w:p>
        </w:tc>
        <w:tc>
          <w:tcPr>
            <w:tcW w:type="dxa" w:w="2340"/>
            <w:tcBorders>
              <w:top w:val="single" w:color="D4CEE0" w:sz="4"/>
              <w:left w:val="single" w:color="D4CEE0" w:sz="4"/>
              <w:bottom w:val="single" w:color="D4CEE0" w:sz="4"/>
              <w:right w:val="single" w:color="D4CEE0" w:sz="4"/>
            </w:tcBorders>
            <w:shd w:fill="F4F2F8" w:val="clear"/>
            <w:tcMar>
              <w:top w:type="dxa" w:w="120"/>
              <w:left w:type="dxa" w:w="160"/>
              <w:bottom w:type="dxa" w:w="120"/>
              <w:right w:type="dxa" w:w="160"/>
            </w:tcMar>
          </w:tcPr>
          <w:p>
            <w:pPr>
              <w:spacing w:after="0"/>
            </w:pPr>
            <w:r>
              <w:rPr>
                <w:color w:val="2B2B2B"/>
                <w:sz w:val="22"/>
                <w:szCs w:val="22"/>
              </w:rPr>
              <w:t xml:space="preserve">Brasil</w:t>
            </w:r>
          </w:p>
        </w:tc>
        <w:tc>
          <w:tcPr>
            <w:tcW w:type="dxa" w:w="3900"/>
            <w:tcBorders>
              <w:top w:val="single" w:color="D4CEE0" w:sz="4"/>
              <w:left w:val="single" w:color="D4CEE0" w:sz="4"/>
              <w:bottom w:val="single" w:color="D4CEE0" w:sz="4"/>
              <w:right w:val="single" w:color="D4CEE0" w:sz="4"/>
            </w:tcBorders>
            <w:shd w:fill="F4F2F8" w:val="clear"/>
            <w:tcMar>
              <w:top w:type="dxa" w:w="120"/>
              <w:left w:type="dxa" w:w="160"/>
              <w:bottom w:type="dxa" w:w="120"/>
              <w:right w:type="dxa" w:w="160"/>
            </w:tcMar>
          </w:tcPr>
          <w:p>
            <w:pPr>
              <w:spacing w:after="0"/>
            </w:pPr>
            <w:r>
              <w:rPr>
                <w:color w:val="2B2B2B"/>
                <w:sz w:val="22"/>
                <w:szCs w:val="22"/>
              </w:rPr>
              <w:t xml:space="preserve">Versão sem hífen. Captura tráfego de digitação sem hífen.</w:t>
            </w:r>
          </w:p>
        </w:tc>
      </w:tr>
      <w:tr>
        <w:tc>
          <w:tcPr>
            <w:tcW w:type="dxa" w:w="3120"/>
            <w:tcBorders>
              <w:top w:val="single" w:color="D4CEE0" w:sz="4"/>
              <w:left w:val="single" w:color="D4CEE0" w:sz="4"/>
              <w:bottom w:val="single" w:color="D4CEE0" w:sz="4"/>
              <w:right w:val="single" w:color="D4CEE0" w:sz="4"/>
            </w:tcBorders>
            <w:tcMar>
              <w:top w:type="dxa" w:w="120"/>
              <w:left w:type="dxa" w:w="160"/>
              <w:bottom w:type="dxa" w:w="120"/>
              <w:right w:type="dxa" w:w="160"/>
            </w:tcMar>
          </w:tcPr>
          <w:p>
            <w:pPr>
              <w:spacing w:after="0"/>
            </w:pPr>
            <w:r>
              <w:rPr>
                <w:b/>
                <w:bCs/>
                <w:color w:val="2B2B2B"/>
                <w:sz w:val="22"/>
                <w:szCs w:val="22"/>
              </w:rPr>
              <w:t xml:space="preserve">lin.dev</w:t>
            </w:r>
          </w:p>
        </w:tc>
        <w:tc>
          <w:tcPr>
            <w:tcW w:type="dxa" w:w="2340"/>
            <w:tcBorders>
              <w:top w:val="single" w:color="D4CEE0" w:sz="4"/>
              <w:left w:val="single" w:color="D4CEE0" w:sz="4"/>
              <w:bottom w:val="single" w:color="D4CEE0" w:sz="4"/>
              <w:right w:val="single" w:color="D4CEE0" w:sz="4"/>
            </w:tcBorders>
            <w:tcMar>
              <w:top w:type="dxa" w:w="120"/>
              <w:left w:type="dxa" w:w="160"/>
              <w:bottom w:type="dxa" w:w="120"/>
              <w:right w:type="dxa" w:w="160"/>
            </w:tcMar>
          </w:tcPr>
          <w:p>
            <w:pPr>
              <w:spacing w:after="0"/>
            </w:pPr>
            <w:r>
              <w:rPr>
                <w:color w:val="2B2B2B"/>
                <w:sz w:val="22"/>
                <w:szCs w:val="22"/>
              </w:rPr>
              <w:t xml:space="preserve">Internacional</w:t>
            </w:r>
          </w:p>
        </w:tc>
        <w:tc>
          <w:tcPr>
            <w:tcW w:type="dxa" w:w="3900"/>
            <w:tcBorders>
              <w:top w:val="single" w:color="D4CEE0" w:sz="4"/>
              <w:left w:val="single" w:color="D4CEE0" w:sz="4"/>
              <w:bottom w:val="single" w:color="D4CEE0" w:sz="4"/>
              <w:right w:val="single" w:color="D4CEE0" w:sz="4"/>
            </w:tcBorders>
            <w:tcMar>
              <w:top w:type="dxa" w:w="120"/>
              <w:left w:type="dxa" w:w="160"/>
              <w:bottom w:type="dxa" w:w="120"/>
              <w:right w:type="dxa" w:w="160"/>
            </w:tcMar>
          </w:tcPr>
          <w:p>
            <w:pPr>
              <w:spacing w:after="0"/>
            </w:pPr>
            <w:r>
              <w:rPr>
                <w:color w:val="2B2B2B"/>
                <w:sz w:val="22"/>
                <w:szCs w:val="22"/>
              </w:rPr>
              <w:t xml:space="preserve">TLD .dev do Google. Sinaliza claramente o público. Alto valor simbólico.</w:t>
            </w:r>
          </w:p>
        </w:tc>
      </w:tr>
    </w:tbl>
    <w:p>
      <w:pPr>
        <w:pStyle w:val="Heading3"/>
        <w:spacing w:after="100" w:before="220"/>
      </w:pPr>
      <w:r>
        <w:t xml:space="preserve">Prioridade média (captura e proteção)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3900"/>
      </w:tblGrid>
      <w:tr>
        <w:trPr>
          <w:tblHeader/>
        </w:trPr>
        <w:tc>
          <w:tcPr>
            <w:tcW w:type="dxa" w:w="3120"/>
            <w:tcBorders>
              <w:top w:val="single" w:color="D4CEE0" w:sz="4"/>
              <w:left w:val="single" w:color="D4CEE0" w:sz="4"/>
              <w:bottom w:val="single" w:color="D4CEE0" w:sz="4"/>
              <w:right w:val="single" w:color="D4CEE0" w:sz="4"/>
            </w:tcBorders>
            <w:shd w:fill="3B2A5C" w:val="clear"/>
            <w:tcMar>
              <w:top w:type="dxa" w:w="120"/>
              <w:left w:type="dxa" w:w="160"/>
              <w:bottom w:type="dxa" w:w="120"/>
              <w:right w:type="dxa" w:w="160"/>
            </w:tcMar>
          </w:tcPr>
          <w:p>
            <w:pPr>
              <w:spacing w:after="0"/>
            </w:pPr>
            <w:r>
              <w:rPr>
                <w:b/>
                <w:bCs/>
                <w:color w:val="FFFFFF"/>
                <w:sz w:val="22"/>
                <w:szCs w:val="22"/>
              </w:rPr>
              <w:t xml:space="preserve">Domínio</w:t>
            </w:r>
          </w:p>
        </w:tc>
        <w:tc>
          <w:tcPr>
            <w:tcW w:type="dxa" w:w="2340"/>
            <w:tcBorders>
              <w:top w:val="single" w:color="D4CEE0" w:sz="4"/>
              <w:left w:val="single" w:color="D4CEE0" w:sz="4"/>
              <w:bottom w:val="single" w:color="D4CEE0" w:sz="4"/>
              <w:right w:val="single" w:color="D4CEE0" w:sz="4"/>
            </w:tcBorders>
            <w:shd w:fill="3B2A5C" w:val="clear"/>
            <w:tcMar>
              <w:top w:type="dxa" w:w="120"/>
              <w:left w:type="dxa" w:w="160"/>
              <w:bottom w:type="dxa" w:w="120"/>
              <w:right w:type="dxa" w:w="160"/>
            </w:tcMar>
          </w:tcPr>
          <w:p>
            <w:pPr>
              <w:spacing w:after="0"/>
            </w:pPr>
            <w:r>
              <w:rPr>
                <w:b/>
                <w:bCs/>
                <w:color w:val="FFFFFF"/>
                <w:sz w:val="22"/>
                <w:szCs w:val="22"/>
              </w:rPr>
              <w:t xml:space="preserve">Tipo</w:t>
            </w:r>
          </w:p>
        </w:tc>
        <w:tc>
          <w:tcPr>
            <w:tcW w:type="dxa" w:w="3900"/>
            <w:tcBorders>
              <w:top w:val="single" w:color="D4CEE0" w:sz="4"/>
              <w:left w:val="single" w:color="D4CEE0" w:sz="4"/>
              <w:bottom w:val="single" w:color="D4CEE0" w:sz="4"/>
              <w:right w:val="single" w:color="D4CEE0" w:sz="4"/>
            </w:tcBorders>
            <w:shd w:fill="3B2A5C" w:val="clear"/>
            <w:tcMar>
              <w:top w:type="dxa" w:w="120"/>
              <w:left w:type="dxa" w:w="160"/>
              <w:bottom w:type="dxa" w:w="120"/>
              <w:right w:type="dxa" w:w="160"/>
            </w:tcMar>
          </w:tcPr>
          <w:p>
            <w:pPr>
              <w:spacing w:after="0"/>
            </w:pPr>
            <w:r>
              <w:rPr>
                <w:b/>
                <w:bCs/>
                <w:color w:val="FFFFFF"/>
                <w:sz w:val="22"/>
                <w:szCs w:val="22"/>
              </w:rPr>
              <w:t xml:space="preserve">Racional</w:t>
            </w:r>
          </w:p>
        </w:tc>
      </w:tr>
      <w:tr>
        <w:tc>
          <w:tcPr>
            <w:tcW w:type="dxa" w:w="3120"/>
            <w:tcBorders>
              <w:top w:val="single" w:color="D4CEE0" w:sz="4"/>
              <w:left w:val="single" w:color="D4CEE0" w:sz="4"/>
              <w:bottom w:val="single" w:color="D4CEE0" w:sz="4"/>
              <w:right w:val="single" w:color="D4CEE0" w:sz="4"/>
            </w:tcBorders>
            <w:tcMar>
              <w:top w:type="dxa" w:w="120"/>
              <w:left w:type="dxa" w:w="160"/>
              <w:bottom w:type="dxa" w:w="120"/>
              <w:right w:type="dxa" w:w="160"/>
            </w:tcMar>
          </w:tcPr>
          <w:p>
            <w:pPr>
              <w:spacing w:after="0"/>
            </w:pPr>
            <w:r>
              <w:rPr>
                <w:color w:val="2B2B2B"/>
                <w:sz w:val="22"/>
                <w:szCs w:val="22"/>
              </w:rPr>
              <w:t xml:space="preserve">uselin.com.br</w:t>
            </w:r>
          </w:p>
        </w:tc>
        <w:tc>
          <w:tcPr>
            <w:tcW w:type="dxa" w:w="2340"/>
            <w:tcBorders>
              <w:top w:val="single" w:color="D4CEE0" w:sz="4"/>
              <w:left w:val="single" w:color="D4CEE0" w:sz="4"/>
              <w:bottom w:val="single" w:color="D4CEE0" w:sz="4"/>
              <w:right w:val="single" w:color="D4CEE0" w:sz="4"/>
            </w:tcBorders>
            <w:tcMar>
              <w:top w:type="dxa" w:w="120"/>
              <w:left w:type="dxa" w:w="160"/>
              <w:bottom w:type="dxa" w:w="120"/>
              <w:right w:type="dxa" w:w="160"/>
            </w:tcMar>
          </w:tcPr>
          <w:p>
            <w:pPr>
              <w:spacing w:after="0"/>
            </w:pPr>
            <w:r>
              <w:rPr>
                <w:color w:val="2B2B2B"/>
                <w:sz w:val="22"/>
                <w:szCs w:val="22"/>
              </w:rPr>
              <w:t xml:space="preserve">Brasil</w:t>
            </w:r>
          </w:p>
        </w:tc>
        <w:tc>
          <w:tcPr>
            <w:tcW w:type="dxa" w:w="3900"/>
            <w:tcBorders>
              <w:top w:val="single" w:color="D4CEE0" w:sz="4"/>
              <w:left w:val="single" w:color="D4CEE0" w:sz="4"/>
              <w:bottom w:val="single" w:color="D4CEE0" w:sz="4"/>
              <w:right w:val="single" w:color="D4CEE0" w:sz="4"/>
            </w:tcBorders>
            <w:tcMar>
              <w:top w:type="dxa" w:w="120"/>
              <w:left w:type="dxa" w:w="160"/>
              <w:bottom w:type="dxa" w:w="120"/>
              <w:right w:type="dxa" w:w="160"/>
            </w:tcMar>
          </w:tcPr>
          <w:p>
            <w:pPr>
              <w:spacing w:after="0"/>
            </w:pPr>
            <w:r>
              <w:rPr>
                <w:color w:val="2B2B2B"/>
                <w:sz w:val="22"/>
                <w:szCs w:val="22"/>
              </w:rPr>
              <w:t xml:space="preserve">Padrão SaaS moderno (use + produto). Alternativa se lin-dev.com.br não estiver disponível.</w:t>
            </w:r>
          </w:p>
        </w:tc>
      </w:tr>
      <w:tr>
        <w:tc>
          <w:tcPr>
            <w:tcW w:type="dxa" w:w="3120"/>
            <w:tcBorders>
              <w:top w:val="single" w:color="D4CEE0" w:sz="4"/>
              <w:left w:val="single" w:color="D4CEE0" w:sz="4"/>
              <w:bottom w:val="single" w:color="D4CEE0" w:sz="4"/>
              <w:right w:val="single" w:color="D4CEE0" w:sz="4"/>
            </w:tcBorders>
            <w:shd w:fill="F4F2F8" w:val="clear"/>
            <w:tcMar>
              <w:top w:type="dxa" w:w="120"/>
              <w:left w:type="dxa" w:w="160"/>
              <w:bottom w:type="dxa" w:w="120"/>
              <w:right w:type="dxa" w:w="160"/>
            </w:tcMar>
          </w:tcPr>
          <w:p>
            <w:pPr>
              <w:spacing w:after="0"/>
            </w:pPr>
            <w:r>
              <w:rPr>
                <w:color w:val="2B2B2B"/>
                <w:sz w:val="22"/>
                <w:szCs w:val="22"/>
              </w:rPr>
              <w:t xml:space="preserve">getlin.com.br</w:t>
            </w:r>
          </w:p>
        </w:tc>
        <w:tc>
          <w:tcPr>
            <w:tcW w:type="dxa" w:w="2340"/>
            <w:tcBorders>
              <w:top w:val="single" w:color="D4CEE0" w:sz="4"/>
              <w:left w:val="single" w:color="D4CEE0" w:sz="4"/>
              <w:bottom w:val="single" w:color="D4CEE0" w:sz="4"/>
              <w:right w:val="single" w:color="D4CEE0" w:sz="4"/>
            </w:tcBorders>
            <w:shd w:fill="F4F2F8" w:val="clear"/>
            <w:tcMar>
              <w:top w:type="dxa" w:w="120"/>
              <w:left w:type="dxa" w:w="160"/>
              <w:bottom w:type="dxa" w:w="120"/>
              <w:right w:type="dxa" w:w="160"/>
            </w:tcMar>
          </w:tcPr>
          <w:p>
            <w:pPr>
              <w:spacing w:after="0"/>
            </w:pPr>
            <w:r>
              <w:rPr>
                <w:color w:val="2B2B2B"/>
                <w:sz w:val="22"/>
                <w:szCs w:val="22"/>
              </w:rPr>
              <w:t xml:space="preserve">Brasil</w:t>
            </w:r>
          </w:p>
        </w:tc>
        <w:tc>
          <w:tcPr>
            <w:tcW w:type="dxa" w:w="3900"/>
            <w:tcBorders>
              <w:top w:val="single" w:color="D4CEE0" w:sz="4"/>
              <w:left w:val="single" w:color="D4CEE0" w:sz="4"/>
              <w:bottom w:val="single" w:color="D4CEE0" w:sz="4"/>
              <w:right w:val="single" w:color="D4CEE0" w:sz="4"/>
            </w:tcBorders>
            <w:shd w:fill="F4F2F8" w:val="clear"/>
            <w:tcMar>
              <w:top w:type="dxa" w:w="120"/>
              <w:left w:type="dxa" w:w="160"/>
              <w:bottom w:type="dxa" w:w="120"/>
              <w:right w:type="dxa" w:w="160"/>
            </w:tcMar>
          </w:tcPr>
          <w:p>
            <w:pPr>
              <w:spacing w:after="0"/>
            </w:pPr>
            <w:r>
              <w:rPr>
                <w:color w:val="2B2B2B"/>
                <w:sz w:val="22"/>
                <w:szCs w:val="22"/>
              </w:rPr>
              <w:t xml:space="preserve">Alternativa ao uselin. Mesmo racional.</w:t>
            </w:r>
          </w:p>
        </w:tc>
      </w:tr>
      <w:tr>
        <w:tc>
          <w:tcPr>
            <w:tcW w:type="dxa" w:w="3120"/>
            <w:tcBorders>
              <w:top w:val="single" w:color="D4CEE0" w:sz="4"/>
              <w:left w:val="single" w:color="D4CEE0" w:sz="4"/>
              <w:bottom w:val="single" w:color="D4CEE0" w:sz="4"/>
              <w:right w:val="single" w:color="D4CEE0" w:sz="4"/>
            </w:tcBorders>
            <w:tcMar>
              <w:top w:type="dxa" w:w="120"/>
              <w:left w:type="dxa" w:w="160"/>
              <w:bottom w:type="dxa" w:w="120"/>
              <w:right w:type="dxa" w:w="160"/>
            </w:tcMar>
          </w:tcPr>
          <w:p>
            <w:pPr>
              <w:spacing w:after="0"/>
            </w:pPr>
            <w:r>
              <w:rPr>
                <w:color w:val="2B2B2B"/>
                <w:sz w:val="22"/>
                <w:szCs w:val="22"/>
              </w:rPr>
              <w:t xml:space="preserve">lindev.com</w:t>
            </w:r>
          </w:p>
        </w:tc>
        <w:tc>
          <w:tcPr>
            <w:tcW w:type="dxa" w:w="2340"/>
            <w:tcBorders>
              <w:top w:val="single" w:color="D4CEE0" w:sz="4"/>
              <w:left w:val="single" w:color="D4CEE0" w:sz="4"/>
              <w:bottom w:val="single" w:color="D4CEE0" w:sz="4"/>
              <w:right w:val="single" w:color="D4CEE0" w:sz="4"/>
            </w:tcBorders>
            <w:tcMar>
              <w:top w:type="dxa" w:w="120"/>
              <w:left w:type="dxa" w:w="160"/>
              <w:bottom w:type="dxa" w:w="120"/>
              <w:right w:type="dxa" w:w="160"/>
            </w:tcMar>
          </w:tcPr>
          <w:p>
            <w:pPr>
              <w:spacing w:after="0"/>
            </w:pPr>
            <w:r>
              <w:rPr>
                <w:color w:val="2B2B2B"/>
                <w:sz w:val="22"/>
                <w:szCs w:val="22"/>
              </w:rPr>
              <w:t xml:space="preserve">Internacional</w:t>
            </w:r>
          </w:p>
        </w:tc>
        <w:tc>
          <w:tcPr>
            <w:tcW w:type="dxa" w:w="3900"/>
            <w:tcBorders>
              <w:top w:val="single" w:color="D4CEE0" w:sz="4"/>
              <w:left w:val="single" w:color="D4CEE0" w:sz="4"/>
              <w:bottom w:val="single" w:color="D4CEE0" w:sz="4"/>
              <w:right w:val="single" w:color="D4CEE0" w:sz="4"/>
            </w:tcBorders>
            <w:tcMar>
              <w:top w:type="dxa" w:w="120"/>
              <w:left w:type="dxa" w:w="160"/>
              <w:bottom w:type="dxa" w:w="120"/>
              <w:right w:type="dxa" w:w="160"/>
            </w:tcMar>
          </w:tcPr>
          <w:p>
            <w:pPr>
              <w:spacing w:after="0"/>
            </w:pPr>
            <w:r>
              <w:rPr>
                <w:color w:val="2B2B2B"/>
                <w:sz w:val="22"/>
                <w:szCs w:val="22"/>
              </w:rPr>
              <w:t xml:space="preserve">Global, sem TLD específico. Em aftermarket pode estar caro.</w:t>
            </w:r>
          </w:p>
        </w:tc>
      </w:tr>
      <w:tr>
        <w:tc>
          <w:tcPr>
            <w:tcW w:type="dxa" w:w="3120"/>
            <w:tcBorders>
              <w:top w:val="single" w:color="D4CEE0" w:sz="4"/>
              <w:left w:val="single" w:color="D4CEE0" w:sz="4"/>
              <w:bottom w:val="single" w:color="D4CEE0" w:sz="4"/>
              <w:right w:val="single" w:color="D4CEE0" w:sz="4"/>
            </w:tcBorders>
            <w:shd w:fill="F4F2F8" w:val="clear"/>
            <w:tcMar>
              <w:top w:type="dxa" w:w="120"/>
              <w:left w:type="dxa" w:w="160"/>
              <w:bottom w:type="dxa" w:w="120"/>
              <w:right w:type="dxa" w:w="160"/>
            </w:tcMar>
          </w:tcPr>
          <w:p>
            <w:pPr>
              <w:spacing w:after="0"/>
            </w:pPr>
            <w:r>
              <w:rPr>
                <w:color w:val="2B2B2B"/>
                <w:sz w:val="22"/>
                <w:szCs w:val="22"/>
              </w:rPr>
              <w:t xml:space="preserve">lin-dev.com</w:t>
            </w:r>
          </w:p>
        </w:tc>
        <w:tc>
          <w:tcPr>
            <w:tcW w:type="dxa" w:w="2340"/>
            <w:tcBorders>
              <w:top w:val="single" w:color="D4CEE0" w:sz="4"/>
              <w:left w:val="single" w:color="D4CEE0" w:sz="4"/>
              <w:bottom w:val="single" w:color="D4CEE0" w:sz="4"/>
              <w:right w:val="single" w:color="D4CEE0" w:sz="4"/>
            </w:tcBorders>
            <w:shd w:fill="F4F2F8" w:val="clear"/>
            <w:tcMar>
              <w:top w:type="dxa" w:w="120"/>
              <w:left w:type="dxa" w:w="160"/>
              <w:bottom w:type="dxa" w:w="120"/>
              <w:right w:type="dxa" w:w="160"/>
            </w:tcMar>
          </w:tcPr>
          <w:p>
            <w:pPr>
              <w:spacing w:after="0"/>
            </w:pPr>
            <w:r>
              <w:rPr>
                <w:color w:val="2B2B2B"/>
                <w:sz w:val="22"/>
                <w:szCs w:val="22"/>
              </w:rPr>
              <w:t xml:space="preserve">Internacional</w:t>
            </w:r>
          </w:p>
        </w:tc>
        <w:tc>
          <w:tcPr>
            <w:tcW w:type="dxa" w:w="3900"/>
            <w:tcBorders>
              <w:top w:val="single" w:color="D4CEE0" w:sz="4"/>
              <w:left w:val="single" w:color="D4CEE0" w:sz="4"/>
              <w:bottom w:val="single" w:color="D4CEE0" w:sz="4"/>
              <w:right w:val="single" w:color="D4CEE0" w:sz="4"/>
            </w:tcBorders>
            <w:shd w:fill="F4F2F8" w:val="clear"/>
            <w:tcMar>
              <w:top w:type="dxa" w:w="120"/>
              <w:left w:type="dxa" w:w="160"/>
              <w:bottom w:type="dxa" w:w="120"/>
              <w:right w:type="dxa" w:w="160"/>
            </w:tcMar>
          </w:tcPr>
          <w:p>
            <w:pPr>
              <w:spacing w:after="0"/>
            </w:pPr>
            <w:r>
              <w:rPr>
                <w:color w:val="2B2B2B"/>
                <w:sz w:val="22"/>
                <w:szCs w:val="22"/>
              </w:rPr>
              <w:t xml:space="preserve">Reflexo exato internacional.</w:t>
            </w:r>
          </w:p>
        </w:tc>
      </w:tr>
      <w:tr>
        <w:tc>
          <w:tcPr>
            <w:tcW w:type="dxa" w:w="3120"/>
            <w:tcBorders>
              <w:top w:val="single" w:color="D4CEE0" w:sz="4"/>
              <w:left w:val="single" w:color="D4CEE0" w:sz="4"/>
              <w:bottom w:val="single" w:color="D4CEE0" w:sz="4"/>
              <w:right w:val="single" w:color="D4CEE0" w:sz="4"/>
            </w:tcBorders>
            <w:tcMar>
              <w:top w:type="dxa" w:w="120"/>
              <w:left w:type="dxa" w:w="160"/>
              <w:bottom w:type="dxa" w:w="120"/>
              <w:right w:type="dxa" w:w="160"/>
            </w:tcMar>
          </w:tcPr>
          <w:p>
            <w:pPr>
              <w:spacing w:after="0"/>
            </w:pPr>
            <w:r>
              <w:rPr>
                <w:color w:val="2B2B2B"/>
                <w:sz w:val="22"/>
                <w:szCs w:val="22"/>
              </w:rPr>
              <w:t xml:space="preserve">lindev.app</w:t>
            </w:r>
          </w:p>
        </w:tc>
        <w:tc>
          <w:tcPr>
            <w:tcW w:type="dxa" w:w="2340"/>
            <w:tcBorders>
              <w:top w:val="single" w:color="D4CEE0" w:sz="4"/>
              <w:left w:val="single" w:color="D4CEE0" w:sz="4"/>
              <w:bottom w:val="single" w:color="D4CEE0" w:sz="4"/>
              <w:right w:val="single" w:color="D4CEE0" w:sz="4"/>
            </w:tcBorders>
            <w:tcMar>
              <w:top w:type="dxa" w:w="120"/>
              <w:left w:type="dxa" w:w="160"/>
              <w:bottom w:type="dxa" w:w="120"/>
              <w:right w:type="dxa" w:w="160"/>
            </w:tcMar>
          </w:tcPr>
          <w:p>
            <w:pPr>
              <w:spacing w:after="0"/>
            </w:pPr>
            <w:r>
              <w:rPr>
                <w:color w:val="2B2B2B"/>
                <w:sz w:val="22"/>
                <w:szCs w:val="22"/>
              </w:rPr>
              <w:t xml:space="preserve">Internacional</w:t>
            </w:r>
          </w:p>
        </w:tc>
        <w:tc>
          <w:tcPr>
            <w:tcW w:type="dxa" w:w="3900"/>
            <w:tcBorders>
              <w:top w:val="single" w:color="D4CEE0" w:sz="4"/>
              <w:left w:val="single" w:color="D4CEE0" w:sz="4"/>
              <w:bottom w:val="single" w:color="D4CEE0" w:sz="4"/>
              <w:right w:val="single" w:color="D4CEE0" w:sz="4"/>
            </w:tcBorders>
            <w:tcMar>
              <w:top w:type="dxa" w:w="120"/>
              <w:left w:type="dxa" w:w="160"/>
              <w:bottom w:type="dxa" w:w="120"/>
              <w:right w:type="dxa" w:w="160"/>
            </w:tcMar>
          </w:tcPr>
          <w:p>
            <w:pPr>
              <w:spacing w:after="0"/>
            </w:pPr>
            <w:r>
              <w:rPr>
                <w:color w:val="2B2B2B"/>
                <w:sz w:val="22"/>
                <w:szCs w:val="22"/>
              </w:rPr>
              <w:t xml:space="preserve">TLD .app força HTTPS nativo. Bom para produto SaaS.</w:t>
            </w:r>
          </w:p>
        </w:tc>
      </w:tr>
      <w:tr>
        <w:tc>
          <w:tcPr>
            <w:tcW w:type="dxa" w:w="3120"/>
            <w:tcBorders>
              <w:top w:val="single" w:color="D4CEE0" w:sz="4"/>
              <w:left w:val="single" w:color="D4CEE0" w:sz="4"/>
              <w:bottom w:val="single" w:color="D4CEE0" w:sz="4"/>
              <w:right w:val="single" w:color="D4CEE0" w:sz="4"/>
            </w:tcBorders>
            <w:shd w:fill="F4F2F8" w:val="clear"/>
            <w:tcMar>
              <w:top w:type="dxa" w:w="120"/>
              <w:left w:type="dxa" w:w="160"/>
              <w:bottom w:type="dxa" w:w="120"/>
              <w:right w:type="dxa" w:w="160"/>
            </w:tcMar>
          </w:tcPr>
          <w:p>
            <w:pPr>
              <w:spacing w:after="0"/>
            </w:pPr>
            <w:r>
              <w:rPr>
                <w:color w:val="2B2B2B"/>
                <w:sz w:val="22"/>
                <w:szCs w:val="22"/>
              </w:rPr>
              <w:t xml:space="preserve">lin.app.br</w:t>
            </w:r>
          </w:p>
        </w:tc>
        <w:tc>
          <w:tcPr>
            <w:tcW w:type="dxa" w:w="2340"/>
            <w:tcBorders>
              <w:top w:val="single" w:color="D4CEE0" w:sz="4"/>
              <w:left w:val="single" w:color="D4CEE0" w:sz="4"/>
              <w:bottom w:val="single" w:color="D4CEE0" w:sz="4"/>
              <w:right w:val="single" w:color="D4CEE0" w:sz="4"/>
            </w:tcBorders>
            <w:shd w:fill="F4F2F8" w:val="clear"/>
            <w:tcMar>
              <w:top w:type="dxa" w:w="120"/>
              <w:left w:type="dxa" w:w="160"/>
              <w:bottom w:type="dxa" w:w="120"/>
              <w:right w:type="dxa" w:w="160"/>
            </w:tcMar>
          </w:tcPr>
          <w:p>
            <w:pPr>
              <w:spacing w:after="0"/>
            </w:pPr>
            <w:r>
              <w:rPr>
                <w:color w:val="2B2B2B"/>
                <w:sz w:val="22"/>
                <w:szCs w:val="22"/>
              </w:rPr>
              <w:t xml:space="preserve">Brasil</w:t>
            </w:r>
          </w:p>
        </w:tc>
        <w:tc>
          <w:tcPr>
            <w:tcW w:type="dxa" w:w="3900"/>
            <w:tcBorders>
              <w:top w:val="single" w:color="D4CEE0" w:sz="4"/>
              <w:left w:val="single" w:color="D4CEE0" w:sz="4"/>
              <w:bottom w:val="single" w:color="D4CEE0" w:sz="4"/>
              <w:right w:val="single" w:color="D4CEE0" w:sz="4"/>
            </w:tcBorders>
            <w:shd w:fill="F4F2F8" w:val="clear"/>
            <w:tcMar>
              <w:top w:type="dxa" w:w="120"/>
              <w:left w:type="dxa" w:w="160"/>
              <w:bottom w:type="dxa" w:w="120"/>
              <w:right w:type="dxa" w:w="160"/>
            </w:tcMar>
          </w:tcPr>
          <w:p>
            <w:pPr>
              <w:spacing w:after="0"/>
            </w:pPr>
            <w:r>
              <w:rPr>
                <w:color w:val="2B2B2B"/>
                <w:sz w:val="22"/>
                <w:szCs w:val="22"/>
              </w:rPr>
              <w:t xml:space="preserve">Curto, SaaS-friendly, subdomínio oficial .br.</w:t>
            </w:r>
          </w:p>
        </w:tc>
      </w:tr>
    </w:tbl>
    <w:p>
      <w:pPr>
        <w:pStyle w:val="Heading2"/>
        <w:spacing w:after="140" w:before="280"/>
      </w:pPr>
      <w:r>
        <w:t xml:space="preserve">5.2. Handles em redes sociais</w:t>
      </w:r>
    </w:p>
    <w:p>
      <w:pPr>
        <w:spacing w:after="120" w:line="320"/>
      </w:pPr>
      <w:r>
        <w:t xml:space="preserve">Recomendação: capturar handles consistentes em pelo menos quatro plataformas críticas para o público-alvo. A consistência de handle facilita descoberta, reforça memorização e previne que terceiros ocupem nomes próximos.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D4CEE0" w:sz="4"/>
              <w:left w:val="single" w:color="D4CEE0" w:sz="4"/>
              <w:bottom w:val="single" w:color="D4CEE0" w:sz="4"/>
              <w:right w:val="single" w:color="D4CEE0" w:sz="4"/>
            </w:tcBorders>
            <w:shd w:fill="3B2A5C" w:val="clear"/>
            <w:tcMar>
              <w:top w:type="dxa" w:w="120"/>
              <w:left w:type="dxa" w:w="160"/>
              <w:bottom w:type="dxa" w:w="120"/>
              <w:right w:type="dxa" w:w="160"/>
            </w:tcMar>
          </w:tcPr>
          <w:p>
            <w:pPr>
              <w:spacing w:after="0"/>
            </w:pPr>
            <w:r>
              <w:rPr>
                <w:b/>
                <w:bCs/>
                <w:color w:val="FFFFFF"/>
                <w:sz w:val="22"/>
                <w:szCs w:val="22"/>
              </w:rPr>
              <w:t xml:space="preserve">Plataforma</w:t>
            </w:r>
          </w:p>
        </w:tc>
        <w:tc>
          <w:tcPr>
            <w:tcW w:type="dxa" w:w="2340"/>
            <w:tcBorders>
              <w:top w:val="single" w:color="D4CEE0" w:sz="4"/>
              <w:left w:val="single" w:color="D4CEE0" w:sz="4"/>
              <w:bottom w:val="single" w:color="D4CEE0" w:sz="4"/>
              <w:right w:val="single" w:color="D4CEE0" w:sz="4"/>
            </w:tcBorders>
            <w:shd w:fill="3B2A5C" w:val="clear"/>
            <w:tcMar>
              <w:top w:type="dxa" w:w="120"/>
              <w:left w:type="dxa" w:w="160"/>
              <w:bottom w:type="dxa" w:w="120"/>
              <w:right w:type="dxa" w:w="160"/>
            </w:tcMar>
          </w:tcPr>
          <w:p>
            <w:pPr>
              <w:spacing w:after="0"/>
            </w:pPr>
            <w:r>
              <w:rPr>
                <w:b/>
                <w:bCs/>
                <w:color w:val="FFFFFF"/>
                <w:sz w:val="22"/>
                <w:szCs w:val="22"/>
              </w:rPr>
              <w:t xml:space="preserve">Handle ideal</w:t>
            </w:r>
          </w:p>
        </w:tc>
        <w:tc>
          <w:tcPr>
            <w:tcW w:type="dxa" w:w="4680"/>
            <w:tcBorders>
              <w:top w:val="single" w:color="D4CEE0" w:sz="4"/>
              <w:left w:val="single" w:color="D4CEE0" w:sz="4"/>
              <w:bottom w:val="single" w:color="D4CEE0" w:sz="4"/>
              <w:right w:val="single" w:color="D4CEE0" w:sz="4"/>
            </w:tcBorders>
            <w:shd w:fill="3B2A5C" w:val="clear"/>
            <w:tcMar>
              <w:top w:type="dxa" w:w="120"/>
              <w:left w:type="dxa" w:w="160"/>
              <w:bottom w:type="dxa" w:w="120"/>
              <w:right w:type="dxa" w:w="160"/>
            </w:tcMar>
          </w:tcPr>
          <w:p>
            <w:pPr>
              <w:spacing w:after="0"/>
            </w:pPr>
            <w:r>
              <w:rPr>
                <w:b/>
                <w:bCs/>
                <w:color w:val="FFFFFF"/>
                <w:sz w:val="22"/>
                <w:szCs w:val="22"/>
              </w:rPr>
              <w:t xml:space="preserve">Backups aceitáveis</w:t>
            </w:r>
          </w:p>
        </w:tc>
      </w:tr>
      <w:tr>
        <w:tc>
          <w:tcPr>
            <w:tcW w:type="dxa" w:w="2340"/>
            <w:tcBorders>
              <w:top w:val="single" w:color="D4CEE0" w:sz="4"/>
              <w:left w:val="single" w:color="D4CEE0" w:sz="4"/>
              <w:bottom w:val="single" w:color="D4CEE0" w:sz="4"/>
              <w:right w:val="single" w:color="D4CEE0" w:sz="4"/>
            </w:tcBorders>
            <w:tcMar>
              <w:top w:type="dxa" w:w="120"/>
              <w:left w:type="dxa" w:w="160"/>
              <w:bottom w:type="dxa" w:w="120"/>
              <w:right w:type="dxa" w:w="160"/>
            </w:tcMar>
          </w:tcPr>
          <w:p>
            <w:pPr>
              <w:spacing w:after="0"/>
            </w:pPr>
            <w:r>
              <w:rPr>
                <w:b/>
                <w:bCs/>
                <w:color w:val="2B2B2B"/>
                <w:sz w:val="22"/>
                <w:szCs w:val="22"/>
              </w:rPr>
              <w:t xml:space="preserve">Instagram</w:t>
            </w:r>
          </w:p>
        </w:tc>
        <w:tc>
          <w:tcPr>
            <w:tcW w:type="dxa" w:w="2340"/>
            <w:tcBorders>
              <w:top w:val="single" w:color="D4CEE0" w:sz="4"/>
              <w:left w:val="single" w:color="D4CEE0" w:sz="4"/>
              <w:bottom w:val="single" w:color="D4CEE0" w:sz="4"/>
              <w:right w:val="single" w:color="D4CEE0" w:sz="4"/>
            </w:tcBorders>
            <w:tcMar>
              <w:top w:type="dxa" w:w="120"/>
              <w:left w:type="dxa" w:w="160"/>
              <w:bottom w:type="dxa" w:w="120"/>
              <w:right w:type="dxa" w:w="160"/>
            </w:tcMar>
          </w:tcPr>
          <w:p>
            <w:pPr>
              <w:spacing w:after="0"/>
            </w:pPr>
            <w:r>
              <w:rPr>
                <w:color w:val="2B2B2B"/>
                <w:sz w:val="22"/>
                <w:szCs w:val="22"/>
              </w:rPr>
              <w:t xml:space="preserve">@lindev</w:t>
            </w:r>
          </w:p>
        </w:tc>
        <w:tc>
          <w:tcPr>
            <w:tcW w:type="dxa" w:w="4680"/>
            <w:tcBorders>
              <w:top w:val="single" w:color="D4CEE0" w:sz="4"/>
              <w:left w:val="single" w:color="D4CEE0" w:sz="4"/>
              <w:bottom w:val="single" w:color="D4CEE0" w:sz="4"/>
              <w:right w:val="single" w:color="D4CEE0" w:sz="4"/>
            </w:tcBorders>
            <w:tcMar>
              <w:top w:type="dxa" w:w="120"/>
              <w:left w:type="dxa" w:w="160"/>
              <w:bottom w:type="dxa" w:w="120"/>
              <w:right w:type="dxa" w:w="160"/>
            </w:tcMar>
          </w:tcPr>
          <w:p>
            <w:pPr>
              <w:spacing w:after="0"/>
            </w:pPr>
            <w:r>
              <w:rPr>
                <w:color w:val="2B2B2B"/>
                <w:sz w:val="22"/>
                <w:szCs w:val="22"/>
              </w:rPr>
              <w:t xml:space="preserve">@lindev.app, @getlindev, @uselin</w:t>
            </w:r>
          </w:p>
        </w:tc>
      </w:tr>
      <w:tr>
        <w:tc>
          <w:tcPr>
            <w:tcW w:type="dxa" w:w="2340"/>
            <w:tcBorders>
              <w:top w:val="single" w:color="D4CEE0" w:sz="4"/>
              <w:left w:val="single" w:color="D4CEE0" w:sz="4"/>
              <w:bottom w:val="single" w:color="D4CEE0" w:sz="4"/>
              <w:right w:val="single" w:color="D4CEE0" w:sz="4"/>
            </w:tcBorders>
            <w:shd w:fill="F4F2F8" w:val="clear"/>
            <w:tcMar>
              <w:top w:type="dxa" w:w="120"/>
              <w:left w:type="dxa" w:w="160"/>
              <w:bottom w:type="dxa" w:w="120"/>
              <w:right w:type="dxa" w:w="160"/>
            </w:tcMar>
          </w:tcPr>
          <w:p>
            <w:pPr>
              <w:spacing w:after="0"/>
            </w:pPr>
            <w:r>
              <w:rPr>
                <w:b/>
                <w:bCs/>
                <w:color w:val="2B2B2B"/>
                <w:sz w:val="22"/>
                <w:szCs w:val="22"/>
              </w:rPr>
              <w:t xml:space="preserve">X (Twitter)</w:t>
            </w:r>
          </w:p>
        </w:tc>
        <w:tc>
          <w:tcPr>
            <w:tcW w:type="dxa" w:w="2340"/>
            <w:tcBorders>
              <w:top w:val="single" w:color="D4CEE0" w:sz="4"/>
              <w:left w:val="single" w:color="D4CEE0" w:sz="4"/>
              <w:bottom w:val="single" w:color="D4CEE0" w:sz="4"/>
              <w:right w:val="single" w:color="D4CEE0" w:sz="4"/>
            </w:tcBorders>
            <w:shd w:fill="F4F2F8" w:val="clear"/>
            <w:tcMar>
              <w:top w:type="dxa" w:w="120"/>
              <w:left w:type="dxa" w:w="160"/>
              <w:bottom w:type="dxa" w:w="120"/>
              <w:right w:type="dxa" w:w="160"/>
            </w:tcMar>
          </w:tcPr>
          <w:p>
            <w:pPr>
              <w:spacing w:after="0"/>
            </w:pPr>
            <w:r>
              <w:rPr>
                <w:color w:val="2B2B2B"/>
                <w:sz w:val="22"/>
                <w:szCs w:val="22"/>
              </w:rPr>
              <w:t xml:space="preserve">@lindev</w:t>
            </w:r>
          </w:p>
        </w:tc>
        <w:tc>
          <w:tcPr>
            <w:tcW w:type="dxa" w:w="4680"/>
            <w:tcBorders>
              <w:top w:val="single" w:color="D4CEE0" w:sz="4"/>
              <w:left w:val="single" w:color="D4CEE0" w:sz="4"/>
              <w:bottom w:val="single" w:color="D4CEE0" w:sz="4"/>
              <w:right w:val="single" w:color="D4CEE0" w:sz="4"/>
            </w:tcBorders>
            <w:shd w:fill="F4F2F8" w:val="clear"/>
            <w:tcMar>
              <w:top w:type="dxa" w:w="120"/>
              <w:left w:type="dxa" w:w="160"/>
              <w:bottom w:type="dxa" w:w="120"/>
              <w:right w:type="dxa" w:w="160"/>
            </w:tcMar>
          </w:tcPr>
          <w:p>
            <w:pPr>
              <w:spacing w:after="0"/>
            </w:pPr>
            <w:r>
              <w:rPr>
                <w:color w:val="2B2B2B"/>
                <w:sz w:val="22"/>
                <w:szCs w:val="22"/>
              </w:rPr>
              <w:t xml:space="preserve">@lindev_app, @getlindev, @uselin_ai</w:t>
            </w:r>
          </w:p>
        </w:tc>
      </w:tr>
      <w:tr>
        <w:tc>
          <w:tcPr>
            <w:tcW w:type="dxa" w:w="2340"/>
            <w:tcBorders>
              <w:top w:val="single" w:color="D4CEE0" w:sz="4"/>
              <w:left w:val="single" w:color="D4CEE0" w:sz="4"/>
              <w:bottom w:val="single" w:color="D4CEE0" w:sz="4"/>
              <w:right w:val="single" w:color="D4CEE0" w:sz="4"/>
            </w:tcBorders>
            <w:tcMar>
              <w:top w:type="dxa" w:w="120"/>
              <w:left w:type="dxa" w:w="160"/>
              <w:bottom w:type="dxa" w:w="120"/>
              <w:right w:type="dxa" w:w="160"/>
            </w:tcMar>
          </w:tcPr>
          <w:p>
            <w:pPr>
              <w:spacing w:after="0"/>
            </w:pPr>
            <w:r>
              <w:rPr>
                <w:b/>
                <w:bCs/>
                <w:color w:val="2B2B2B"/>
                <w:sz w:val="22"/>
                <w:szCs w:val="22"/>
              </w:rPr>
              <w:t xml:space="preserve">LinkedIn</w:t>
            </w:r>
          </w:p>
        </w:tc>
        <w:tc>
          <w:tcPr>
            <w:tcW w:type="dxa" w:w="2340"/>
            <w:tcBorders>
              <w:top w:val="single" w:color="D4CEE0" w:sz="4"/>
              <w:left w:val="single" w:color="D4CEE0" w:sz="4"/>
              <w:bottom w:val="single" w:color="D4CEE0" w:sz="4"/>
              <w:right w:val="single" w:color="D4CEE0" w:sz="4"/>
            </w:tcBorders>
            <w:tcMar>
              <w:top w:type="dxa" w:w="120"/>
              <w:left w:type="dxa" w:w="160"/>
              <w:bottom w:type="dxa" w:w="120"/>
              <w:right w:type="dxa" w:w="160"/>
            </w:tcMar>
          </w:tcPr>
          <w:p>
            <w:pPr>
              <w:spacing w:after="0"/>
            </w:pPr>
            <w:r>
              <w:rPr>
                <w:color w:val="2B2B2B"/>
                <w:sz w:val="22"/>
                <w:szCs w:val="22"/>
              </w:rPr>
              <w:t xml:space="preserve">/company/lin-dev</w:t>
            </w:r>
          </w:p>
        </w:tc>
        <w:tc>
          <w:tcPr>
            <w:tcW w:type="dxa" w:w="4680"/>
            <w:tcBorders>
              <w:top w:val="single" w:color="D4CEE0" w:sz="4"/>
              <w:left w:val="single" w:color="D4CEE0" w:sz="4"/>
              <w:bottom w:val="single" w:color="D4CEE0" w:sz="4"/>
              <w:right w:val="single" w:color="D4CEE0" w:sz="4"/>
            </w:tcBorders>
            <w:tcMar>
              <w:top w:type="dxa" w:w="120"/>
              <w:left w:type="dxa" w:w="160"/>
              <w:bottom w:type="dxa" w:w="120"/>
              <w:right w:type="dxa" w:w="160"/>
            </w:tcMar>
          </w:tcPr>
          <w:p>
            <w:pPr>
              <w:spacing w:after="0"/>
            </w:pPr>
            <w:r>
              <w:rPr>
                <w:color w:val="2B2B2B"/>
                <w:sz w:val="22"/>
                <w:szCs w:val="22"/>
              </w:rPr>
              <w:t xml:space="preserve">/company/lindev, /company/lindev-app</w:t>
            </w:r>
          </w:p>
        </w:tc>
      </w:tr>
      <w:tr>
        <w:tc>
          <w:tcPr>
            <w:tcW w:type="dxa" w:w="2340"/>
            <w:tcBorders>
              <w:top w:val="single" w:color="D4CEE0" w:sz="4"/>
              <w:left w:val="single" w:color="D4CEE0" w:sz="4"/>
              <w:bottom w:val="single" w:color="D4CEE0" w:sz="4"/>
              <w:right w:val="single" w:color="D4CEE0" w:sz="4"/>
            </w:tcBorders>
            <w:shd w:fill="F4F2F8" w:val="clear"/>
            <w:tcMar>
              <w:top w:type="dxa" w:w="120"/>
              <w:left w:type="dxa" w:w="160"/>
              <w:bottom w:type="dxa" w:w="120"/>
              <w:right w:type="dxa" w:w="160"/>
            </w:tcMar>
          </w:tcPr>
          <w:p>
            <w:pPr>
              <w:spacing w:after="0"/>
            </w:pPr>
            <w:r>
              <w:rPr>
                <w:b/>
                <w:bCs/>
                <w:color w:val="2B2B2B"/>
                <w:sz w:val="22"/>
                <w:szCs w:val="22"/>
              </w:rPr>
              <w:t xml:space="preserve">GitHub</w:t>
            </w:r>
          </w:p>
        </w:tc>
        <w:tc>
          <w:tcPr>
            <w:tcW w:type="dxa" w:w="2340"/>
            <w:tcBorders>
              <w:top w:val="single" w:color="D4CEE0" w:sz="4"/>
              <w:left w:val="single" w:color="D4CEE0" w:sz="4"/>
              <w:bottom w:val="single" w:color="D4CEE0" w:sz="4"/>
              <w:right w:val="single" w:color="D4CEE0" w:sz="4"/>
            </w:tcBorders>
            <w:shd w:fill="F4F2F8" w:val="clear"/>
            <w:tcMar>
              <w:top w:type="dxa" w:w="120"/>
              <w:left w:type="dxa" w:w="160"/>
              <w:bottom w:type="dxa" w:w="120"/>
              <w:right w:type="dxa" w:w="160"/>
            </w:tcMar>
          </w:tcPr>
          <w:p>
            <w:pPr>
              <w:spacing w:after="0"/>
            </w:pPr>
            <w:r>
              <w:rPr>
                <w:color w:val="2B2B2B"/>
                <w:sz w:val="22"/>
                <w:szCs w:val="22"/>
              </w:rPr>
              <w:t xml:space="preserve">/lin-dev</w:t>
            </w:r>
          </w:p>
        </w:tc>
        <w:tc>
          <w:tcPr>
            <w:tcW w:type="dxa" w:w="4680"/>
            <w:tcBorders>
              <w:top w:val="single" w:color="D4CEE0" w:sz="4"/>
              <w:left w:val="single" w:color="D4CEE0" w:sz="4"/>
              <w:bottom w:val="single" w:color="D4CEE0" w:sz="4"/>
              <w:right w:val="single" w:color="D4CEE0" w:sz="4"/>
            </w:tcBorders>
            <w:shd w:fill="F4F2F8" w:val="clear"/>
            <w:tcMar>
              <w:top w:type="dxa" w:w="120"/>
              <w:left w:type="dxa" w:w="160"/>
              <w:bottom w:type="dxa" w:w="120"/>
              <w:right w:type="dxa" w:w="160"/>
            </w:tcMar>
          </w:tcPr>
          <w:p>
            <w:pPr>
              <w:spacing w:after="0"/>
            </w:pPr>
            <w:r>
              <w:rPr>
                <w:color w:val="2B2B2B"/>
                <w:sz w:val="22"/>
                <w:szCs w:val="22"/>
              </w:rPr>
              <w:t xml:space="preserve">/lindev, /lindevapp, /uselindev</w:t>
            </w:r>
          </w:p>
        </w:tc>
      </w:tr>
      <w:tr>
        <w:tc>
          <w:tcPr>
            <w:tcW w:type="dxa" w:w="2340"/>
            <w:tcBorders>
              <w:top w:val="single" w:color="D4CEE0" w:sz="4"/>
              <w:left w:val="single" w:color="D4CEE0" w:sz="4"/>
              <w:bottom w:val="single" w:color="D4CEE0" w:sz="4"/>
              <w:right w:val="single" w:color="D4CEE0" w:sz="4"/>
            </w:tcBorders>
            <w:tcMar>
              <w:top w:type="dxa" w:w="120"/>
              <w:left w:type="dxa" w:w="160"/>
              <w:bottom w:type="dxa" w:w="120"/>
              <w:right w:type="dxa" w:w="160"/>
            </w:tcMar>
          </w:tcPr>
          <w:p>
            <w:pPr>
              <w:spacing w:after="0"/>
            </w:pPr>
            <w:r>
              <w:rPr>
                <w:b/>
                <w:bCs/>
                <w:color w:val="2B2B2B"/>
                <w:sz w:val="22"/>
                <w:szCs w:val="22"/>
              </w:rPr>
              <w:t xml:space="preserve">YouTube</w:t>
            </w:r>
          </w:p>
        </w:tc>
        <w:tc>
          <w:tcPr>
            <w:tcW w:type="dxa" w:w="2340"/>
            <w:tcBorders>
              <w:top w:val="single" w:color="D4CEE0" w:sz="4"/>
              <w:left w:val="single" w:color="D4CEE0" w:sz="4"/>
              <w:bottom w:val="single" w:color="D4CEE0" w:sz="4"/>
              <w:right w:val="single" w:color="D4CEE0" w:sz="4"/>
            </w:tcBorders>
            <w:tcMar>
              <w:top w:type="dxa" w:w="120"/>
              <w:left w:type="dxa" w:w="160"/>
              <w:bottom w:type="dxa" w:w="120"/>
              <w:right w:type="dxa" w:w="160"/>
            </w:tcMar>
          </w:tcPr>
          <w:p>
            <w:pPr>
              <w:spacing w:after="0"/>
            </w:pPr>
            <w:r>
              <w:rPr>
                <w:color w:val="2B2B2B"/>
                <w:sz w:val="22"/>
                <w:szCs w:val="22"/>
              </w:rPr>
              <w:t xml:space="preserve">@lindev</w:t>
            </w:r>
          </w:p>
        </w:tc>
        <w:tc>
          <w:tcPr>
            <w:tcW w:type="dxa" w:w="4680"/>
            <w:tcBorders>
              <w:top w:val="single" w:color="D4CEE0" w:sz="4"/>
              <w:left w:val="single" w:color="D4CEE0" w:sz="4"/>
              <w:bottom w:val="single" w:color="D4CEE0" w:sz="4"/>
              <w:right w:val="single" w:color="D4CEE0" w:sz="4"/>
            </w:tcBorders>
            <w:tcMar>
              <w:top w:type="dxa" w:w="120"/>
              <w:left w:type="dxa" w:w="160"/>
              <w:bottom w:type="dxa" w:w="120"/>
              <w:right w:type="dxa" w:w="160"/>
            </w:tcMar>
          </w:tcPr>
          <w:p>
            <w:pPr>
              <w:spacing w:after="0"/>
            </w:pPr>
            <w:r>
              <w:rPr>
                <w:color w:val="2B2B2B"/>
                <w:sz w:val="22"/>
                <w:szCs w:val="22"/>
              </w:rPr>
              <w:t xml:space="preserve">@lindevapp, @uselin</w:t>
            </w:r>
          </w:p>
        </w:tc>
      </w:tr>
      <w:tr>
        <w:tc>
          <w:tcPr>
            <w:tcW w:type="dxa" w:w="2340"/>
            <w:tcBorders>
              <w:top w:val="single" w:color="D4CEE0" w:sz="4"/>
              <w:left w:val="single" w:color="D4CEE0" w:sz="4"/>
              <w:bottom w:val="single" w:color="D4CEE0" w:sz="4"/>
              <w:right w:val="single" w:color="D4CEE0" w:sz="4"/>
            </w:tcBorders>
            <w:shd w:fill="F4F2F8" w:val="clear"/>
            <w:tcMar>
              <w:top w:type="dxa" w:w="120"/>
              <w:left w:type="dxa" w:w="160"/>
              <w:bottom w:type="dxa" w:w="120"/>
              <w:right w:type="dxa" w:w="160"/>
            </w:tcMar>
          </w:tcPr>
          <w:p>
            <w:pPr>
              <w:spacing w:after="0"/>
            </w:pPr>
            <w:r>
              <w:rPr>
                <w:b/>
                <w:bCs/>
                <w:color w:val="2B2B2B"/>
                <w:sz w:val="22"/>
                <w:szCs w:val="22"/>
              </w:rPr>
              <w:t xml:space="preserve">Discord</w:t>
            </w:r>
          </w:p>
        </w:tc>
        <w:tc>
          <w:tcPr>
            <w:tcW w:type="dxa" w:w="2340"/>
            <w:tcBorders>
              <w:top w:val="single" w:color="D4CEE0" w:sz="4"/>
              <w:left w:val="single" w:color="D4CEE0" w:sz="4"/>
              <w:bottom w:val="single" w:color="D4CEE0" w:sz="4"/>
              <w:right w:val="single" w:color="D4CEE0" w:sz="4"/>
            </w:tcBorders>
            <w:shd w:fill="F4F2F8" w:val="clear"/>
            <w:tcMar>
              <w:top w:type="dxa" w:w="120"/>
              <w:left w:type="dxa" w:w="160"/>
              <w:bottom w:type="dxa" w:w="120"/>
              <w:right w:type="dxa" w:w="160"/>
            </w:tcMar>
          </w:tcPr>
          <w:p>
            <w:pPr>
              <w:spacing w:after="0"/>
            </w:pPr>
            <w:r>
              <w:rPr>
                <w:color w:val="2B2B2B"/>
                <w:sz w:val="22"/>
                <w:szCs w:val="22"/>
              </w:rPr>
              <w:t xml:space="preserve">lin-dev</w:t>
            </w:r>
          </w:p>
        </w:tc>
        <w:tc>
          <w:tcPr>
            <w:tcW w:type="dxa" w:w="4680"/>
            <w:tcBorders>
              <w:top w:val="single" w:color="D4CEE0" w:sz="4"/>
              <w:left w:val="single" w:color="D4CEE0" w:sz="4"/>
              <w:bottom w:val="single" w:color="D4CEE0" w:sz="4"/>
              <w:right w:val="single" w:color="D4CEE0" w:sz="4"/>
            </w:tcBorders>
            <w:shd w:fill="F4F2F8" w:val="clear"/>
            <w:tcMar>
              <w:top w:type="dxa" w:w="120"/>
              <w:left w:type="dxa" w:w="160"/>
              <w:bottom w:type="dxa" w:w="120"/>
              <w:right w:type="dxa" w:w="160"/>
            </w:tcMar>
          </w:tcPr>
          <w:p>
            <w:pPr>
              <w:spacing w:after="0"/>
            </w:pPr>
            <w:r>
              <w:rPr>
                <w:color w:val="2B2B2B"/>
                <w:sz w:val="22"/>
                <w:szCs w:val="22"/>
              </w:rPr>
              <w:t xml:space="preserve">lindev, lindev-community</w:t>
            </w:r>
          </w:p>
        </w:tc>
      </w:tr>
    </w:tbl>
    <w:p>
      <w:pPr>
        <w:spacing w:before="200"/>
      </w:pPr>
      <w:r>
        <w:t xml:space="preserve">Observação técnica: algumas plataformas (Instagram, X, TikTok, Discord) não aceitam hífen em handles. Nestes casos, a forma correta é lindev sem separador. A marca visual permanece Lin-Dev, mas o handle segue a convenção da plataforma.</w:t>
      </w:r>
    </w:p>
    <w:p>
      <w:pPr>
        <w:pStyle w:val="Heading2"/>
        <w:spacing w:after="140" w:before="280"/>
      </w:pPr>
      <w:r>
        <w:t xml:space="preserve">5.3. Status no INPI</w:t>
      </w:r>
    </w:p>
    <w:p>
      <w:pPr>
        <w:spacing w:after="120" w:line="320"/>
      </w:pPr>
      <w:r>
        <w:t xml:space="preserve">A busca no Instituto Nacional da Propriedade Industrial retornou, em abril de 2026, resultado conclusivo: não há registro de marca nem pedido pendente para Lin, Lin-Dev, Lindev, nem para a variante colidente LinkDev em nenhuma das classes relevantes.</w:t>
      </w:r>
    </w:p>
    <w:p>
      <w:pPr>
        <w:spacing w:after="120" w:line="320"/>
      </w:pPr>
      <w:r>
        <w:t xml:space="preserve">Especificamente, as classes relevantes são a classe 9, que cobre software gravado e aplicativos, e a classe 42, que cobre serviços de tecnologia da informação e software como serviço. A ausência de registro em ambas significa caminho livre.</w:t>
      </w:r>
    </w:p>
    <w:p>
      <w:pPr>
        <w:spacing w:after="120" w:line="320"/>
      </w:pPr>
      <w:r>
        <w:t xml:space="preserve">Recomendação: depositar pedido de registro nas classes 9 e 42 antes do lançamento público do rebrand. O sistema brasileiro é atributivo, ou seja, a proteção pertence a quem registra primeiro, não a quem usa primeiro. Depósito antes do lançamento protege contra oportunistas que possam tentar registrar a marca ao ver o produto.</w:t>
      </w:r>
    </w:p>
    <w:p>
      <w:pPr>
        <w:spacing w:after="120" w:line="320"/>
      </w:pPr>
      <w:r>
        <w:t xml:space="preserve">Custo estimado: aproximadamente R$ 142 reais por classe para requerentes com enquadramento de MEI, ME ou EPP, totalizando cerca de R$ 284 reais para registro nominativo nas duas classes. Registro com marca mista, que inclui o logo, tem o mesmo custo, mas requer a identidade visual finalizada.</w:t>
      </w:r>
    </w:p>
    <w:p>
      <w:pPr>
        <w:pBdr>
          <w:bottom w:val="single" w:color="3B2A5C" w:sz="8" w:space="1"/>
        </w:pBdr>
        <w:spacing w:after="200" w:before="200"/>
      </w:pPr>
      <w:r>
        <w:t xml:space="preserve"/>
      </w:r>
    </w:p>
    <w:p>
      <w:pPr>
        <w:pStyle w:val="Heading1"/>
        <w:spacing w:after="200" w:before="360"/>
      </w:pPr>
      <w:r>
        <w:t xml:space="preserve">6. Comparação com candidatos descartados</w:t>
      </w:r>
    </w:p>
    <w:p>
      <w:pPr>
        <w:spacing w:after="120" w:line="320"/>
      </w:pPr>
      <w:r>
        <w:t xml:space="preserve">Esta seção registra, para fins de rastreabilidade, por que candidatos finalistas ou quase finalistas foram descartados em favor de Lin-Dev. O registro é importante porque o processo de naming tende a gerar dúvida posterior sobre alternativas. Esta documentação evita retrabalho futuro.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5460"/>
      </w:tblGrid>
      <w:tr>
        <w:trPr>
          <w:tblHeader/>
        </w:trPr>
        <w:tc>
          <w:tcPr>
            <w:tcW w:type="dxa" w:w="1560"/>
            <w:tcBorders>
              <w:top w:val="single" w:color="D4CEE0" w:sz="4"/>
              <w:left w:val="single" w:color="D4CEE0" w:sz="4"/>
              <w:bottom w:val="single" w:color="D4CEE0" w:sz="4"/>
              <w:right w:val="single" w:color="D4CEE0" w:sz="4"/>
            </w:tcBorders>
            <w:shd w:fill="3B2A5C" w:val="clear"/>
            <w:tcMar>
              <w:top w:type="dxa" w:w="120"/>
              <w:left w:type="dxa" w:w="160"/>
              <w:bottom w:type="dxa" w:w="120"/>
              <w:right w:type="dxa" w:w="160"/>
            </w:tcMar>
          </w:tcPr>
          <w:p>
            <w:pPr>
              <w:spacing w:after="0"/>
            </w:pPr>
            <w:r>
              <w:rPr>
                <w:b/>
                <w:bCs/>
                <w:color w:val="FFFFFF"/>
                <w:sz w:val="22"/>
                <w:szCs w:val="22"/>
              </w:rPr>
              <w:t xml:space="preserve">Candidato</w:t>
            </w:r>
          </w:p>
        </w:tc>
        <w:tc>
          <w:tcPr>
            <w:tcW w:type="dxa" w:w="2340"/>
            <w:tcBorders>
              <w:top w:val="single" w:color="D4CEE0" w:sz="4"/>
              <w:left w:val="single" w:color="D4CEE0" w:sz="4"/>
              <w:bottom w:val="single" w:color="D4CEE0" w:sz="4"/>
              <w:right w:val="single" w:color="D4CEE0" w:sz="4"/>
            </w:tcBorders>
            <w:shd w:fill="3B2A5C" w:val="clear"/>
            <w:tcMar>
              <w:top w:type="dxa" w:w="120"/>
              <w:left w:type="dxa" w:w="160"/>
              <w:bottom w:type="dxa" w:w="120"/>
              <w:right w:type="dxa" w:w="160"/>
            </w:tcMar>
          </w:tcPr>
          <w:p>
            <w:pPr>
              <w:spacing w:after="0"/>
            </w:pPr>
            <w:r>
              <w:rPr>
                <w:b/>
                <w:bCs/>
                <w:color w:val="FFFFFF"/>
                <w:sz w:val="22"/>
                <w:szCs w:val="22"/>
              </w:rPr>
              <w:t xml:space="preserve">Força principal</w:t>
            </w:r>
          </w:p>
        </w:tc>
        <w:tc>
          <w:tcPr>
            <w:tcW w:type="dxa" w:w="5460"/>
            <w:tcBorders>
              <w:top w:val="single" w:color="D4CEE0" w:sz="4"/>
              <w:left w:val="single" w:color="D4CEE0" w:sz="4"/>
              <w:bottom w:val="single" w:color="D4CEE0" w:sz="4"/>
              <w:right w:val="single" w:color="D4CEE0" w:sz="4"/>
            </w:tcBorders>
            <w:shd w:fill="3B2A5C" w:val="clear"/>
            <w:tcMar>
              <w:top w:type="dxa" w:w="120"/>
              <w:left w:type="dxa" w:w="160"/>
              <w:bottom w:type="dxa" w:w="120"/>
              <w:right w:type="dxa" w:w="160"/>
            </w:tcMar>
          </w:tcPr>
          <w:p>
            <w:pPr>
              <w:spacing w:after="0"/>
            </w:pPr>
            <w:r>
              <w:rPr>
                <w:b/>
                <w:bCs/>
                <w:color w:val="FFFFFF"/>
                <w:sz w:val="22"/>
                <w:szCs w:val="22"/>
              </w:rPr>
              <w:t xml:space="preserve">Motivo do descarte</w:t>
            </w:r>
          </w:p>
        </w:tc>
      </w:tr>
      <w:tr>
        <w:tc>
          <w:tcPr>
            <w:tcW w:type="dxa" w:w="1560"/>
            <w:tcBorders>
              <w:top w:val="single" w:color="D4CEE0" w:sz="4"/>
              <w:left w:val="single" w:color="D4CEE0" w:sz="4"/>
              <w:bottom w:val="single" w:color="D4CEE0" w:sz="4"/>
              <w:right w:val="single" w:color="D4CEE0" w:sz="4"/>
            </w:tcBorders>
            <w:tcMar>
              <w:top w:type="dxa" w:w="120"/>
              <w:left w:type="dxa" w:w="160"/>
              <w:bottom w:type="dxa" w:w="120"/>
              <w:right w:type="dxa" w:w="160"/>
            </w:tcMar>
          </w:tcPr>
          <w:p>
            <w:pPr>
              <w:spacing w:after="0"/>
            </w:pPr>
            <w:r>
              <w:rPr>
                <w:b/>
                <w:bCs/>
                <w:color w:val="2B2B2B"/>
                <w:sz w:val="22"/>
                <w:szCs w:val="22"/>
              </w:rPr>
              <w:t xml:space="preserve">Gestao.dev</w:t>
            </w:r>
          </w:p>
        </w:tc>
        <w:tc>
          <w:tcPr>
            <w:tcW w:type="dxa" w:w="2340"/>
            <w:tcBorders>
              <w:top w:val="single" w:color="D4CEE0" w:sz="4"/>
              <w:left w:val="single" w:color="D4CEE0" w:sz="4"/>
              <w:bottom w:val="single" w:color="D4CEE0" w:sz="4"/>
              <w:right w:val="single" w:color="D4CEE0" w:sz="4"/>
            </w:tcBorders>
            <w:tcMar>
              <w:top w:type="dxa" w:w="120"/>
              <w:left w:type="dxa" w:w="160"/>
              <w:bottom w:type="dxa" w:w="120"/>
              <w:right w:type="dxa" w:w="160"/>
            </w:tcMar>
          </w:tcPr>
          <w:p>
            <w:pPr>
              <w:spacing w:after="0"/>
            </w:pPr>
            <w:r>
              <w:rPr>
                <w:color w:val="2B2B2B"/>
                <w:sz w:val="22"/>
                <w:szCs w:val="22"/>
              </w:rPr>
              <w:t xml:space="preserve">Nome atual, já operado</w:t>
            </w:r>
          </w:p>
        </w:tc>
        <w:tc>
          <w:tcPr>
            <w:tcW w:type="dxa" w:w="5460"/>
            <w:tcBorders>
              <w:top w:val="single" w:color="D4CEE0" w:sz="4"/>
              <w:left w:val="single" w:color="D4CEE0" w:sz="4"/>
              <w:bottom w:val="single" w:color="D4CEE0" w:sz="4"/>
              <w:right w:val="single" w:color="D4CEE0" w:sz="4"/>
            </w:tcBorders>
            <w:tcMar>
              <w:top w:type="dxa" w:w="120"/>
              <w:left w:type="dxa" w:w="160"/>
              <w:bottom w:type="dxa" w:w="120"/>
              <w:right w:type="dxa" w:w="160"/>
            </w:tcMar>
          </w:tcPr>
          <w:p>
            <w:pPr>
              <w:spacing w:after="0"/>
            </w:pPr>
            <w:r>
              <w:rPr>
                <w:color w:val="2B2B2B"/>
                <w:sz w:val="22"/>
                <w:szCs w:val="22"/>
              </w:rPr>
              <w:t xml:space="preserve">Colisão direta com gestaodev.com (concorrente ocupando o nome). Trigger do rebrand.</w:t>
            </w:r>
          </w:p>
        </w:tc>
      </w:tr>
      <w:tr>
        <w:tc>
          <w:tcPr>
            <w:tcW w:type="dxa" w:w="1560"/>
            <w:tcBorders>
              <w:top w:val="single" w:color="D4CEE0" w:sz="4"/>
              <w:left w:val="single" w:color="D4CEE0" w:sz="4"/>
              <w:bottom w:val="single" w:color="D4CEE0" w:sz="4"/>
              <w:right w:val="single" w:color="D4CEE0" w:sz="4"/>
            </w:tcBorders>
            <w:shd w:fill="F4F2F8" w:val="clear"/>
            <w:tcMar>
              <w:top w:type="dxa" w:w="120"/>
              <w:left w:type="dxa" w:w="160"/>
              <w:bottom w:type="dxa" w:w="120"/>
              <w:right w:type="dxa" w:w="160"/>
            </w:tcMar>
          </w:tcPr>
          <w:p>
            <w:pPr>
              <w:spacing w:after="0"/>
            </w:pPr>
            <w:r>
              <w:rPr>
                <w:b/>
                <w:bCs/>
                <w:color w:val="2B2B2B"/>
                <w:sz w:val="22"/>
                <w:szCs w:val="22"/>
              </w:rPr>
              <w:t xml:space="preserve">Uveo</w:t>
            </w:r>
          </w:p>
        </w:tc>
        <w:tc>
          <w:tcPr>
            <w:tcW w:type="dxa" w:w="2340"/>
            <w:tcBorders>
              <w:top w:val="single" w:color="D4CEE0" w:sz="4"/>
              <w:left w:val="single" w:color="D4CEE0" w:sz="4"/>
              <w:bottom w:val="single" w:color="D4CEE0" w:sz="4"/>
              <w:right w:val="single" w:color="D4CEE0" w:sz="4"/>
            </w:tcBorders>
            <w:shd w:fill="F4F2F8" w:val="clear"/>
            <w:tcMar>
              <w:top w:type="dxa" w:w="120"/>
              <w:left w:type="dxa" w:w="160"/>
              <w:bottom w:type="dxa" w:w="120"/>
              <w:right w:type="dxa" w:w="160"/>
            </w:tcMar>
          </w:tcPr>
          <w:p>
            <w:pPr>
              <w:spacing w:after="0"/>
            </w:pPr>
            <w:r>
              <w:rPr>
                <w:color w:val="2B2B2B"/>
                <w:sz w:val="22"/>
                <w:szCs w:val="22"/>
              </w:rPr>
              <w:t xml:space="preserve">Sem colisão em SaaS</w:t>
            </w:r>
          </w:p>
        </w:tc>
        <w:tc>
          <w:tcPr>
            <w:tcW w:type="dxa" w:w="5460"/>
            <w:tcBorders>
              <w:top w:val="single" w:color="D4CEE0" w:sz="4"/>
              <w:left w:val="single" w:color="D4CEE0" w:sz="4"/>
              <w:bottom w:val="single" w:color="D4CEE0" w:sz="4"/>
              <w:right w:val="single" w:color="D4CEE0" w:sz="4"/>
            </w:tcBorders>
            <w:shd w:fill="F4F2F8" w:val="clear"/>
            <w:tcMar>
              <w:top w:type="dxa" w:w="120"/>
              <w:left w:type="dxa" w:w="160"/>
              <w:bottom w:type="dxa" w:w="120"/>
              <w:right w:type="dxa" w:w="160"/>
            </w:tcMar>
          </w:tcPr>
          <w:p>
            <w:pPr>
              <w:spacing w:after="0"/>
            </w:pPr>
            <w:r>
              <w:rPr>
                <w:color w:val="2B2B2B"/>
                <w:sz w:val="22"/>
                <w:szCs w:val="22"/>
              </w:rPr>
              <w:t xml:space="preserve">Fonética ambígua em português (u-vê-o vs uvéo). Associação involuntária com uveíte. Não evoca brandbook.</w:t>
            </w:r>
          </w:p>
        </w:tc>
      </w:tr>
      <w:tr>
        <w:tc>
          <w:tcPr>
            <w:tcW w:type="dxa" w:w="1560"/>
            <w:tcBorders>
              <w:top w:val="single" w:color="D4CEE0" w:sz="4"/>
              <w:left w:val="single" w:color="D4CEE0" w:sz="4"/>
              <w:bottom w:val="single" w:color="D4CEE0" w:sz="4"/>
              <w:right w:val="single" w:color="D4CEE0" w:sz="4"/>
            </w:tcBorders>
            <w:tcMar>
              <w:top w:type="dxa" w:w="120"/>
              <w:left w:type="dxa" w:w="160"/>
              <w:bottom w:type="dxa" w:w="120"/>
              <w:right w:type="dxa" w:w="160"/>
            </w:tcMar>
          </w:tcPr>
          <w:p>
            <w:pPr>
              <w:spacing w:after="0"/>
            </w:pPr>
            <w:r>
              <w:rPr>
                <w:b/>
                <w:bCs/>
                <w:color w:val="2B2B2B"/>
                <w:sz w:val="22"/>
                <w:szCs w:val="22"/>
              </w:rPr>
              <w:t xml:space="preserve">Vint</w:t>
            </w:r>
          </w:p>
        </w:tc>
        <w:tc>
          <w:tcPr>
            <w:tcW w:type="dxa" w:w="2340"/>
            <w:tcBorders>
              <w:top w:val="single" w:color="D4CEE0" w:sz="4"/>
              <w:left w:val="single" w:color="D4CEE0" w:sz="4"/>
              <w:bottom w:val="single" w:color="D4CEE0" w:sz="4"/>
              <w:right w:val="single" w:color="D4CEE0" w:sz="4"/>
            </w:tcBorders>
            <w:tcMar>
              <w:top w:type="dxa" w:w="120"/>
              <w:left w:type="dxa" w:w="160"/>
              <w:bottom w:type="dxa" w:w="120"/>
              <w:right w:type="dxa" w:w="160"/>
            </w:tcMar>
          </w:tcPr>
          <w:p>
            <w:pPr>
              <w:spacing w:after="0"/>
            </w:pPr>
            <w:r>
              <w:rPr>
                <w:color w:val="2B2B2B"/>
                <w:sz w:val="22"/>
                <w:szCs w:val="22"/>
              </w:rPr>
              <w:t xml:space="preserve">Referência a Vint Cerf</w:t>
            </w:r>
          </w:p>
        </w:tc>
        <w:tc>
          <w:tcPr>
            <w:tcW w:type="dxa" w:w="5460"/>
            <w:tcBorders>
              <w:top w:val="single" w:color="D4CEE0" w:sz="4"/>
              <w:left w:val="single" w:color="D4CEE0" w:sz="4"/>
              <w:bottom w:val="single" w:color="D4CEE0" w:sz="4"/>
              <w:right w:val="single" w:color="D4CEE0" w:sz="4"/>
            </w:tcBorders>
            <w:tcMar>
              <w:top w:type="dxa" w:w="120"/>
              <w:left w:type="dxa" w:w="160"/>
              <w:bottom w:type="dxa" w:w="120"/>
              <w:right w:type="dxa" w:w="160"/>
            </w:tcMar>
          </w:tcPr>
          <w:p>
            <w:pPr>
              <w:spacing w:after="0"/>
            </w:pPr>
            <w:r>
              <w:rPr>
                <w:color w:val="2B2B2B"/>
                <w:sz w:val="22"/>
                <w:szCs w:val="22"/>
              </w:rPr>
              <w:t xml:space="preserve">Brincadeira de número vinte em português brasileiro. Vint.ai enterprise data ocupa espaço adjacente.</w:t>
            </w:r>
          </w:p>
        </w:tc>
      </w:tr>
      <w:tr>
        <w:tc>
          <w:tcPr>
            <w:tcW w:type="dxa" w:w="1560"/>
            <w:tcBorders>
              <w:top w:val="single" w:color="D4CEE0" w:sz="4"/>
              <w:left w:val="single" w:color="D4CEE0" w:sz="4"/>
              <w:bottom w:val="single" w:color="D4CEE0" w:sz="4"/>
              <w:right w:val="single" w:color="D4CEE0" w:sz="4"/>
            </w:tcBorders>
            <w:shd w:fill="F4F2F8" w:val="clear"/>
            <w:tcMar>
              <w:top w:type="dxa" w:w="120"/>
              <w:left w:type="dxa" w:w="160"/>
              <w:bottom w:type="dxa" w:w="120"/>
              <w:right w:type="dxa" w:w="160"/>
            </w:tcMar>
          </w:tcPr>
          <w:p>
            <w:pPr>
              <w:spacing w:after="0"/>
            </w:pPr>
            <w:r>
              <w:rPr>
                <w:b/>
                <w:bCs/>
                <w:color w:val="2B2B2B"/>
                <w:sz w:val="22"/>
                <w:szCs w:val="22"/>
              </w:rPr>
              <w:t xml:space="preserve">Knut</w:t>
            </w:r>
          </w:p>
        </w:tc>
        <w:tc>
          <w:tcPr>
            <w:tcW w:type="dxa" w:w="2340"/>
            <w:tcBorders>
              <w:top w:val="single" w:color="D4CEE0" w:sz="4"/>
              <w:left w:val="single" w:color="D4CEE0" w:sz="4"/>
              <w:bottom w:val="single" w:color="D4CEE0" w:sz="4"/>
              <w:right w:val="single" w:color="D4CEE0" w:sz="4"/>
            </w:tcBorders>
            <w:shd w:fill="F4F2F8" w:val="clear"/>
            <w:tcMar>
              <w:top w:type="dxa" w:w="120"/>
              <w:left w:type="dxa" w:w="160"/>
              <w:bottom w:type="dxa" w:w="120"/>
              <w:right w:type="dxa" w:w="160"/>
            </w:tcMar>
          </w:tcPr>
          <w:p>
            <w:pPr>
              <w:spacing w:after="0"/>
            </w:pPr>
            <w:r>
              <w:rPr>
                <w:color w:val="2B2B2B"/>
                <w:sz w:val="22"/>
                <w:szCs w:val="22"/>
              </w:rPr>
              <w:t xml:space="preserve">Referência a Knuth</w:t>
            </w:r>
          </w:p>
        </w:tc>
        <w:tc>
          <w:tcPr>
            <w:tcW w:type="dxa" w:w="5460"/>
            <w:tcBorders>
              <w:top w:val="single" w:color="D4CEE0" w:sz="4"/>
              <w:left w:val="single" w:color="D4CEE0" w:sz="4"/>
              <w:bottom w:val="single" w:color="D4CEE0" w:sz="4"/>
              <w:right w:val="single" w:color="D4CEE0" w:sz="4"/>
            </w:tcBorders>
            <w:shd w:fill="F4F2F8" w:val="clear"/>
            <w:tcMar>
              <w:top w:type="dxa" w:w="120"/>
              <w:left w:type="dxa" w:w="160"/>
              <w:bottom w:type="dxa" w:w="120"/>
              <w:right w:type="dxa" w:w="160"/>
            </w:tcMar>
          </w:tcPr>
          <w:p>
            <w:pPr>
              <w:spacing w:after="0"/>
            </w:pPr>
            <w:r>
              <w:rPr>
                <w:color w:val="2B2B2B"/>
                <w:sz w:val="22"/>
                <w:szCs w:val="22"/>
              </w:rPr>
              <w:t xml:space="preserve">Homofonia fatal com termo vulgar em inglês. Descartado imediatamente.</w:t>
            </w:r>
          </w:p>
        </w:tc>
      </w:tr>
      <w:tr>
        <w:tc>
          <w:tcPr>
            <w:tcW w:type="dxa" w:w="1560"/>
            <w:tcBorders>
              <w:top w:val="single" w:color="D4CEE0" w:sz="4"/>
              <w:left w:val="single" w:color="D4CEE0" w:sz="4"/>
              <w:bottom w:val="single" w:color="D4CEE0" w:sz="4"/>
              <w:right w:val="single" w:color="D4CEE0" w:sz="4"/>
            </w:tcBorders>
            <w:tcMar>
              <w:top w:type="dxa" w:w="120"/>
              <w:left w:type="dxa" w:w="160"/>
              <w:bottom w:type="dxa" w:w="120"/>
              <w:right w:type="dxa" w:w="160"/>
            </w:tcMar>
          </w:tcPr>
          <w:p>
            <w:pPr>
              <w:spacing w:after="0"/>
            </w:pPr>
            <w:r>
              <w:rPr>
                <w:b/>
                <w:bCs/>
                <w:color w:val="2B2B2B"/>
                <w:sz w:val="22"/>
                <w:szCs w:val="22"/>
              </w:rPr>
              <w:t xml:space="preserve">Ada</w:t>
            </w:r>
          </w:p>
        </w:tc>
        <w:tc>
          <w:tcPr>
            <w:tcW w:type="dxa" w:w="2340"/>
            <w:tcBorders>
              <w:top w:val="single" w:color="D4CEE0" w:sz="4"/>
              <w:left w:val="single" w:color="D4CEE0" w:sz="4"/>
              <w:bottom w:val="single" w:color="D4CEE0" w:sz="4"/>
              <w:right w:val="single" w:color="D4CEE0" w:sz="4"/>
            </w:tcBorders>
            <w:tcMar>
              <w:top w:type="dxa" w:w="120"/>
              <w:left w:type="dxa" w:w="160"/>
              <w:bottom w:type="dxa" w:w="120"/>
              <w:right w:type="dxa" w:w="160"/>
            </w:tcMar>
          </w:tcPr>
          <w:p>
            <w:pPr>
              <w:spacing w:after="0"/>
            </w:pPr>
            <w:r>
              <w:rPr>
                <w:color w:val="2B2B2B"/>
                <w:sz w:val="22"/>
                <w:szCs w:val="22"/>
              </w:rPr>
              <w:t xml:space="preserve">Referência a Lovelace</w:t>
            </w:r>
          </w:p>
        </w:tc>
        <w:tc>
          <w:tcPr>
            <w:tcW w:type="dxa" w:w="5460"/>
            <w:tcBorders>
              <w:top w:val="single" w:color="D4CEE0" w:sz="4"/>
              <w:left w:val="single" w:color="D4CEE0" w:sz="4"/>
              <w:bottom w:val="single" w:color="D4CEE0" w:sz="4"/>
              <w:right w:val="single" w:color="D4CEE0" w:sz="4"/>
            </w:tcBorders>
            <w:tcMar>
              <w:top w:type="dxa" w:w="120"/>
              <w:left w:type="dxa" w:w="160"/>
              <w:bottom w:type="dxa" w:w="120"/>
              <w:right w:type="dxa" w:w="160"/>
            </w:tcMar>
          </w:tcPr>
          <w:p>
            <w:pPr>
              <w:spacing w:after="0"/>
            </w:pPr>
            <w:r>
              <w:rPr>
                <w:color w:val="2B2B2B"/>
                <w:sz w:val="22"/>
                <w:szCs w:val="22"/>
              </w:rPr>
              <w:t xml:space="preserve">Homonímia total com linguagem Ada e Ada Developers Academy. Confusão fatal no contexto dev.</w:t>
            </w:r>
          </w:p>
        </w:tc>
      </w:tr>
      <w:tr>
        <w:tc>
          <w:tcPr>
            <w:tcW w:type="dxa" w:w="1560"/>
            <w:tcBorders>
              <w:top w:val="single" w:color="D4CEE0" w:sz="4"/>
              <w:left w:val="single" w:color="D4CEE0" w:sz="4"/>
              <w:bottom w:val="single" w:color="D4CEE0" w:sz="4"/>
              <w:right w:val="single" w:color="D4CEE0" w:sz="4"/>
            </w:tcBorders>
            <w:shd w:fill="F4F2F8" w:val="clear"/>
            <w:tcMar>
              <w:top w:type="dxa" w:w="120"/>
              <w:left w:type="dxa" w:w="160"/>
              <w:bottom w:type="dxa" w:w="120"/>
              <w:right w:type="dxa" w:w="160"/>
            </w:tcMar>
          </w:tcPr>
          <w:p>
            <w:pPr>
              <w:spacing w:after="0"/>
            </w:pPr>
            <w:r>
              <w:rPr>
                <w:b/>
                <w:bCs/>
                <w:color w:val="2B2B2B"/>
                <w:sz w:val="22"/>
                <w:szCs w:val="22"/>
              </w:rPr>
              <w:t xml:space="preserve">Otto</w:t>
            </w:r>
          </w:p>
        </w:tc>
        <w:tc>
          <w:tcPr>
            <w:tcW w:type="dxa" w:w="2340"/>
            <w:tcBorders>
              <w:top w:val="single" w:color="D4CEE0" w:sz="4"/>
              <w:left w:val="single" w:color="D4CEE0" w:sz="4"/>
              <w:bottom w:val="single" w:color="D4CEE0" w:sz="4"/>
              <w:right w:val="single" w:color="D4CEE0" w:sz="4"/>
            </w:tcBorders>
            <w:shd w:fill="F4F2F8" w:val="clear"/>
            <w:tcMar>
              <w:top w:type="dxa" w:w="120"/>
              <w:left w:type="dxa" w:w="160"/>
              <w:bottom w:type="dxa" w:w="120"/>
              <w:right w:type="dxa" w:w="160"/>
            </w:tcMar>
          </w:tcPr>
          <w:p>
            <w:pPr>
              <w:spacing w:after="0"/>
            </w:pPr>
            <w:r>
              <w:rPr>
                <w:color w:val="2B2B2B"/>
                <w:sz w:val="22"/>
                <w:szCs w:val="22"/>
              </w:rPr>
              <w:t xml:space="preserve">Pet-style clássico</w:t>
            </w:r>
          </w:p>
        </w:tc>
        <w:tc>
          <w:tcPr>
            <w:tcW w:type="dxa" w:w="5460"/>
            <w:tcBorders>
              <w:top w:val="single" w:color="D4CEE0" w:sz="4"/>
              <w:left w:val="single" w:color="D4CEE0" w:sz="4"/>
              <w:bottom w:val="single" w:color="D4CEE0" w:sz="4"/>
              <w:right w:val="single" w:color="D4CEE0" w:sz="4"/>
            </w:tcBorders>
            <w:shd w:fill="F4F2F8" w:val="clear"/>
            <w:tcMar>
              <w:top w:type="dxa" w:w="120"/>
              <w:left w:type="dxa" w:w="160"/>
              <w:bottom w:type="dxa" w:w="120"/>
              <w:right w:type="dxa" w:w="160"/>
            </w:tcMar>
          </w:tcPr>
          <w:p>
            <w:pPr>
              <w:spacing w:after="0"/>
            </w:pPr>
            <w:r>
              <w:rPr>
                <w:color w:val="2B2B2B"/>
                <w:sz w:val="22"/>
                <w:szCs w:val="22"/>
              </w:rPr>
              <w:t xml:space="preserve">PMOtto.ai é concorrente direto (AI project management GPT-4). Hashicorp Otto é produto de dev legado.</w:t>
            </w:r>
          </w:p>
        </w:tc>
      </w:tr>
      <w:tr>
        <w:tc>
          <w:tcPr>
            <w:tcW w:type="dxa" w:w="1560"/>
            <w:tcBorders>
              <w:top w:val="single" w:color="D4CEE0" w:sz="4"/>
              <w:left w:val="single" w:color="D4CEE0" w:sz="4"/>
              <w:bottom w:val="single" w:color="D4CEE0" w:sz="4"/>
              <w:right w:val="single" w:color="D4CEE0" w:sz="4"/>
            </w:tcBorders>
            <w:tcMar>
              <w:top w:type="dxa" w:w="120"/>
              <w:left w:type="dxa" w:w="160"/>
              <w:bottom w:type="dxa" w:w="120"/>
              <w:right w:type="dxa" w:w="160"/>
            </w:tcMar>
          </w:tcPr>
          <w:p>
            <w:pPr>
              <w:spacing w:after="0"/>
            </w:pPr>
            <w:r>
              <w:rPr>
                <w:b/>
                <w:bCs/>
                <w:color w:val="2B2B2B"/>
                <w:sz w:val="22"/>
                <w:szCs w:val="22"/>
              </w:rPr>
              <w:t xml:space="preserve">Lin-Dev</w:t>
            </w:r>
          </w:p>
        </w:tc>
        <w:tc>
          <w:tcPr>
            <w:tcW w:type="dxa" w:w="2340"/>
            <w:tcBorders>
              <w:top w:val="single" w:color="D4CEE0" w:sz="4"/>
              <w:left w:val="single" w:color="D4CEE0" w:sz="4"/>
              <w:bottom w:val="single" w:color="D4CEE0" w:sz="4"/>
              <w:right w:val="single" w:color="D4CEE0" w:sz="4"/>
            </w:tcBorders>
            <w:tcMar>
              <w:top w:type="dxa" w:w="120"/>
              <w:left w:type="dxa" w:w="160"/>
              <w:bottom w:type="dxa" w:w="120"/>
              <w:right w:type="dxa" w:w="160"/>
            </w:tcMar>
          </w:tcPr>
          <w:p>
            <w:pPr>
              <w:spacing w:after="0"/>
            </w:pPr>
            <w:r>
              <w:rPr>
                <w:b/>
                <w:bCs/>
                <w:color w:val="2B2B2B"/>
                <w:sz w:val="22"/>
                <w:szCs w:val="22"/>
              </w:rPr>
              <w:t xml:space="preserve">Tripla ancoragem + brandbook</w:t>
            </w:r>
          </w:p>
        </w:tc>
        <w:tc>
          <w:tcPr>
            <w:tcW w:type="dxa" w:w="5460"/>
            <w:tcBorders>
              <w:top w:val="single" w:color="D4CEE0" w:sz="4"/>
              <w:left w:val="single" w:color="D4CEE0" w:sz="4"/>
              <w:bottom w:val="single" w:color="D4CEE0" w:sz="4"/>
              <w:right w:val="single" w:color="D4CEE0" w:sz="4"/>
            </w:tcBorders>
            <w:tcMar>
              <w:top w:type="dxa" w:w="120"/>
              <w:left w:type="dxa" w:w="160"/>
              <w:bottom w:type="dxa" w:w="120"/>
              <w:right w:type="dxa" w:w="160"/>
            </w:tcMar>
          </w:tcPr>
          <w:p>
            <w:pPr>
              <w:spacing w:after="0"/>
            </w:pPr>
            <w:r>
              <w:rPr>
                <w:b/>
                <w:bCs/>
                <w:color w:val="2B2B2B"/>
                <w:sz w:val="22"/>
                <w:szCs w:val="22"/>
              </w:rPr>
              <w:t xml:space="preserve">Escolhido. Sem colisão direta, alinhado ao brandbook, memorização grátis via lint, viabilidade técnica total.</w:t>
            </w:r>
          </w:p>
        </w:tc>
      </w:tr>
    </w:tbl>
    <w:p>
      <w:pPr>
        <w:pBdr>
          <w:bottom w:val="single" w:color="3B2A5C" w:sz="8" w:space="1"/>
        </w:pBdr>
        <w:spacing w:after="200" w:before="200"/>
      </w:pPr>
      <w:r>
        <w:t xml:space="preserve"/>
      </w:r>
    </w:p>
    <w:p>
      <w:pPr>
        <w:pStyle w:val="Heading1"/>
        <w:spacing w:after="200" w:before="360"/>
      </w:pPr>
      <w:r>
        <w:t xml:space="preserve">7. Próximos passos operacionais</w:t>
      </w:r>
    </w:p>
    <w:p>
      <w:pPr>
        <w:spacing w:after="120" w:line="320"/>
      </w:pPr>
      <w:r>
        <w:t xml:space="preserve">A adoção de Lin-Dev como nome oficial exige execução coordenada de frentes paralelas. Esta seção lista as ações a serem tomadas em ordem de prioridade, com indicação de responsável recomendado e prazo sugerido.</w:t>
      </w:r>
    </w:p>
    <w:p>
      <w:pPr>
        <w:pStyle w:val="Heading2"/>
        <w:spacing w:after="140" w:before="280"/>
      </w:pPr>
      <w:r>
        <w:t xml:space="preserve">7.1. Imediato (próximos 7 dias)</w:t>
      </w:r>
    </w:p>
    <w:p>
      <w:pPr>
        <w:pStyle w:val="ListParagraph"/>
        <w:numPr>
          <w:ilvl w:val="0"/>
          <w:numId w:val="2"/>
        </w:numPr>
        <w:spacing w:after="80" w:line="300"/>
      </w:pPr>
      <w:r>
        <w:rPr>
          <w:b w:val="false"/>
          <w:bCs w:val="false"/>
        </w:rPr>
        <w:t xml:space="preserve">Verificação e aquisição dos domínios prioritários listados na seção 5.1. Iniciar com lin-dev.com.br e lindev.com.br no registro.br. Adicionar lin.dev ou lindev.app em registrar internacional.</w:t>
      </w:r>
    </w:p>
    <w:p>
      <w:pPr>
        <w:pStyle w:val="ListParagraph"/>
        <w:numPr>
          <w:ilvl w:val="0"/>
          <w:numId w:val="2"/>
        </w:numPr>
        <w:spacing w:after="80" w:line="300"/>
      </w:pPr>
      <w:r>
        <w:rPr>
          <w:b w:val="false"/>
          <w:bCs w:val="false"/>
        </w:rPr>
        <w:t xml:space="preserve">Captura dos handles em redes sociais listados na seção 5.2. Fazer em sessão única para garantir consistência.</w:t>
      </w:r>
    </w:p>
    <w:p>
      <w:pPr>
        <w:pStyle w:val="ListParagraph"/>
        <w:numPr>
          <w:ilvl w:val="0"/>
          <w:numId w:val="2"/>
        </w:numPr>
        <w:spacing w:after="80" w:line="300"/>
      </w:pPr>
      <w:r>
        <w:rPr>
          <w:b w:val="false"/>
          <w:bCs w:val="false"/>
        </w:rPr>
        <w:t xml:space="preserve">Abertura de conta no e-INPI e depósito de pedido de registro de marca nominativa Lin-Dev nas classes 9 e 42. Modalidade: marca nominativa, para proteção do texto puro.</w:t>
      </w:r>
    </w:p>
    <w:p>
      <w:pPr>
        <w:pStyle w:val="Heading2"/>
        <w:spacing w:after="140" w:before="280"/>
      </w:pPr>
      <w:r>
        <w:t xml:space="preserve">7.2. Curto prazo (próximos 30 dias)</w:t>
      </w:r>
    </w:p>
    <w:p>
      <w:pPr>
        <w:pStyle w:val="ListParagraph"/>
        <w:numPr>
          <w:ilvl w:val="0"/>
          <w:numId w:val="2"/>
        </w:numPr>
        <w:spacing w:after="80" w:line="300"/>
      </w:pPr>
      <w:r>
        <w:rPr>
          <w:b w:val="false"/>
          <w:bCs w:val="false"/>
        </w:rPr>
        <w:t xml:space="preserve">Desenvolvimento da identidade visual seguindo arquétipo primário do Mago e secundário do Criador, incorporando deep purple do brandbook. Explorar estilização do hífen como elemento simbólico.</w:t>
      </w:r>
    </w:p>
    <w:p>
      <w:pPr>
        <w:pStyle w:val="ListParagraph"/>
        <w:numPr>
          <w:ilvl w:val="0"/>
          <w:numId w:val="2"/>
        </w:numPr>
        <w:spacing w:after="80" w:line="300"/>
      </w:pPr>
      <w:r>
        <w:rPr>
          <w:b w:val="false"/>
          <w:bCs w:val="false"/>
        </w:rPr>
        <w:t xml:space="preserve">Após identidade visual finalizada, depósito adicional no INPI de marca mista (nome + logo) nas classes 9 e 42, para proteção dupla.</w:t>
      </w:r>
    </w:p>
    <w:p>
      <w:pPr>
        <w:pStyle w:val="ListParagraph"/>
        <w:numPr>
          <w:ilvl w:val="0"/>
          <w:numId w:val="2"/>
        </w:numPr>
        <w:spacing w:after="80" w:line="300"/>
      </w:pPr>
      <w:r>
        <w:rPr>
          <w:b w:val="false"/>
          <w:bCs w:val="false"/>
        </w:rPr>
        <w:t xml:space="preserve">Definição da personalidade e voz do agente Lin nas interações via MCP. O tom deve ser coerente com os arquétipos e respeitar a regra de ouro do brandbook, mantendo o protagonismo no tempo devolvido ao desenvolvedor.</w:t>
      </w:r>
    </w:p>
    <w:p>
      <w:pPr>
        <w:pStyle w:val="ListParagraph"/>
        <w:numPr>
          <w:ilvl w:val="0"/>
          <w:numId w:val="2"/>
        </w:numPr>
        <w:spacing w:after="80" w:line="300"/>
      </w:pPr>
      <w:r>
        <w:rPr>
          <w:b w:val="false"/>
          <w:bCs w:val="false"/>
        </w:rPr>
        <w:t xml:space="preserve">Redação da nova página inicial e posicionamento público, utilizando a analogia funcional lint-gestão como pitch central.</w:t>
      </w:r>
    </w:p>
    <w:p>
      <w:pPr>
        <w:pStyle w:val="Heading2"/>
        <w:spacing w:after="140" w:before="280"/>
      </w:pPr>
      <w:r>
        <w:t xml:space="preserve">7.3. Médio prazo (próximos 90 dias)</w:t>
      </w:r>
    </w:p>
    <w:p>
      <w:pPr>
        <w:pStyle w:val="ListParagraph"/>
        <w:numPr>
          <w:ilvl w:val="0"/>
          <w:numId w:val="2"/>
        </w:numPr>
        <w:spacing w:after="80" w:line="300"/>
      </w:pPr>
      <w:r>
        <w:rPr>
          <w:b w:val="false"/>
          <w:bCs w:val="false"/>
        </w:rPr>
        <w:t xml:space="preserve">Comunicação do rebrand aos usuários atuais de gestao.dev. Dado o tamanho atual da base, a migração pode ser feita com comunicação direta e redirect permanente de domínio.</w:t>
      </w:r>
    </w:p>
    <w:p>
      <w:pPr>
        <w:pStyle w:val="ListParagraph"/>
        <w:numPr>
          <w:ilvl w:val="0"/>
          <w:numId w:val="2"/>
        </w:numPr>
        <w:spacing w:after="80" w:line="300"/>
      </w:pPr>
      <w:r>
        <w:rPr>
          <w:b w:val="false"/>
          <w:bCs w:val="false"/>
        </w:rPr>
        <w:t xml:space="preserve">Monitoramento de busca e menções a Lin-Dev para identificar eventuais ocupações não antecipadas por terceiros. Ferramentas como Google Alerts e Mention cobrem esta função.</w:t>
      </w:r>
    </w:p>
    <w:p>
      <w:pPr>
        <w:pStyle w:val="ListParagraph"/>
        <w:numPr>
          <w:ilvl w:val="0"/>
          <w:numId w:val="2"/>
        </w:numPr>
        <w:spacing w:after="80" w:line="300"/>
      </w:pPr>
      <w:r>
        <w:rPr>
          <w:b w:val="false"/>
          <w:bCs w:val="false"/>
        </w:rPr>
        <w:t xml:space="preserve">Planejamento da estratégia de remoção futura do sufixo Dev, incluindo critérios objetivos que disparam a transição (por exemplo, percentual de squads não exclusivamente técnicos na base de usuários).</w:t>
      </w:r>
    </w:p>
    <w:p>
      <w:pPr>
        <w:pBdr>
          <w:bottom w:val="single" w:color="3B2A5C" w:sz="8" w:space="1"/>
        </w:pBdr>
        <w:spacing w:after="200" w:before="200"/>
      </w:pPr>
      <w:r>
        <w:t xml:space="preserve"/>
      </w:r>
    </w:p>
    <w:p>
      <w:pPr>
        <w:pStyle w:val="Heading1"/>
        <w:spacing w:after="200" w:before="360"/>
      </w:pPr>
      <w:r>
        <w:t xml:space="preserve">8. Encerramento</w:t>
      </w:r>
    </w:p>
    <w:p>
      <w:pPr>
        <w:spacing w:after="120" w:line="320"/>
      </w:pPr>
      <w:r>
        <w:t xml:space="preserve">A decisão por Lin-Dev representa o desfecho de um processo de naming rigoroso, que testou amplamente o espaço semântico disponível para marcas de SaaS voltadas a desenvolvedores. O resultado não foi encontrar um nome perfeito, pois nomes perfeitos não existem em mercados saturados. O resultado foi encontrar o nome com a melhor combinação possível de defensabilidade, ressonância e viabilidade operacional.</w:t>
      </w:r>
    </w:p>
    <w:p>
      <w:pPr>
        <w:spacing w:after="120" w:line="320"/>
      </w:pPr>
      <w:r>
        <w:t xml:space="preserve">Lin-Dev oferece o que nenhum outro candidato ofereceu:</w:t>
      </w:r>
    </w:p>
    <w:p>
      <w:pPr>
        <w:pStyle w:val="ListParagraph"/>
        <w:numPr>
          <w:ilvl w:val="0"/>
          <w:numId w:val="2"/>
        </w:numPr>
        <w:spacing w:after="80" w:line="300"/>
      </w:pPr>
      <w:r>
        <w:rPr>
          <w:b w:val="false"/>
          <w:bCs w:val="false"/>
        </w:rPr>
        <w:t xml:space="preserve">Ausência de colisão direta no nicho de product management voltado a desenvolvedores.</w:t>
      </w:r>
    </w:p>
    <w:p>
      <w:pPr>
        <w:pStyle w:val="ListParagraph"/>
        <w:numPr>
          <w:ilvl w:val="0"/>
          <w:numId w:val="2"/>
        </w:numPr>
        <w:spacing w:after="80" w:line="300"/>
      </w:pPr>
      <w:r>
        <w:rPr>
          <w:b w:val="false"/>
          <w:bCs w:val="false"/>
        </w:rPr>
        <w:t xml:space="preserve">Tripla ancoragem mnemônica em termos nativos do vocabulário dev (Lean, Linus, Lint).</w:t>
      </w:r>
    </w:p>
    <w:p>
      <w:pPr>
        <w:pStyle w:val="ListParagraph"/>
        <w:numPr>
          <w:ilvl w:val="0"/>
          <w:numId w:val="2"/>
        </w:numPr>
        <w:spacing w:after="80" w:line="300"/>
      </w:pPr>
      <w:r>
        <w:rPr>
          <w:b w:val="false"/>
          <w:bCs w:val="false"/>
        </w:rPr>
        <w:t xml:space="preserve">Alinhamento explícito com cada elemento estrutural do brandbook, do propósito ao arquétipo primário.</w:t>
      </w:r>
    </w:p>
    <w:p>
      <w:pPr>
        <w:pStyle w:val="ListParagraph"/>
        <w:numPr>
          <w:ilvl w:val="0"/>
          <w:numId w:val="2"/>
        </w:numPr>
        <w:spacing w:after="80" w:line="300"/>
      </w:pPr>
      <w:r>
        <w:rPr>
          <w:b w:val="false"/>
          <w:bCs w:val="false"/>
        </w:rPr>
        <w:t xml:space="preserve">Pitch de produto embutido no próprio nome, via analogia funcional com o lint.</w:t>
      </w:r>
    </w:p>
    <w:p>
      <w:pPr>
        <w:pStyle w:val="ListParagraph"/>
        <w:numPr>
          <w:ilvl w:val="0"/>
          <w:numId w:val="2"/>
        </w:numPr>
        <w:spacing w:after="80" w:line="300"/>
      </w:pPr>
      <w:r>
        <w:rPr>
          <w:b w:val="false"/>
          <w:bCs w:val="false"/>
        </w:rPr>
        <w:t xml:space="preserve">Viabilidade técnica em todos os contextos operacionais relevantes: domínios, CLIs, pacotes, repositórios, handles.</w:t>
      </w:r>
    </w:p>
    <w:p>
      <w:pPr>
        <w:pStyle w:val="ListParagraph"/>
        <w:numPr>
          <w:ilvl w:val="0"/>
          <w:numId w:val="2"/>
        </w:numPr>
        <w:spacing w:after="80" w:line="300"/>
      </w:pPr>
      <w:r>
        <w:rPr>
          <w:b w:val="false"/>
          <w:bCs w:val="false"/>
        </w:rPr>
        <w:t xml:space="preserve">Caminho limpo para proteção jurídica via INPI nas classes 9 e 42.</w:t>
      </w:r>
    </w:p>
    <w:p>
      <w:pPr>
        <w:pStyle w:val="ListParagraph"/>
        <w:numPr>
          <w:ilvl w:val="0"/>
          <w:numId w:val="2"/>
        </w:numPr>
        <w:spacing w:after="80" w:line="300"/>
      </w:pPr>
      <w:r>
        <w:rPr>
          <w:b w:val="false"/>
          <w:bCs w:val="false"/>
        </w:rPr>
        <w:t xml:space="preserve">Estratégia de crescimento prevista via remoção futura do sufixo Dev.</w:t>
      </w:r>
    </w:p>
    <w:p>
      <w:pPr>
        <w:spacing w:before="200"/>
      </w:pPr>
      <w:r>
        <w:t xml:space="preserve">A execução agora depende da coordenação das frentes operacionais listadas na seção 7. Com execução diligente nos próximos trinta dias, Lin-Dev estará pronto para lançamento público como marca oficial, encerrando o ciclo de gestao.dev e abrindo o próximo capítulo da Ceisc Tech.</w:t>
      </w:r>
    </w:p>
    <w:p>
      <w:pPr>
        <w:spacing w:before="160"/>
        <w:rPr>
          <w:i/>
          <w:iCs/>
          <w:color w:val="555555"/>
        </w:rPr>
      </w:pPr>
      <w:r>
        <w:rPr>
          <w:i/>
          <w:iCs/>
          <w:color w:val="555555"/>
        </w:rPr>
        <w:t xml:space="preserve">Este documento fica arquivado como referência histórica da decisão.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B2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Calibri" w:cs="Calibri" w:eastAsia="Calibri" w:hAnsi="Calibri"/>
      <w:b/>
      <w:bCs/>
      <w:color w:val="3B2A5C"/>
      <w:sz w:val="40"/>
      <w:szCs w:val="40"/>
    </w:rPr>
  </w:style>
  <w:style w:type="paragraph" w:styleId="Heading2">
    <w:name w:val="Heading 2"/>
    <w:basedOn w:val="Normal"/>
    <w:next w:val="Normal"/>
    <w:qFormat/>
    <w:pPr>
      <w:spacing w:after="160" w:before="360"/>
      <w:outlineLvl w:val="1"/>
    </w:pPr>
    <w:rPr>
      <w:rFonts w:ascii="Calibri" w:cs="Calibri" w:eastAsia="Calibri" w:hAnsi="Calibri"/>
      <w:b/>
      <w:bCs/>
      <w:color w:val="3B2A5C"/>
      <w:sz w:val="30"/>
      <w:szCs w:val="30"/>
    </w:rPr>
  </w:style>
  <w:style w:type="paragraph" w:styleId="Heading3">
    <w:name w:val="Heading 3"/>
    <w:basedOn w:val="Normal"/>
    <w:next w:val="Normal"/>
    <w:qFormat/>
    <w:pPr>
      <w:spacing w:after="100" w:before="240"/>
      <w:outlineLvl w:val="2"/>
    </w:pPr>
    <w:rPr>
      <w:rFonts w:ascii="Calibri" w:cs="Calibri" w:eastAsia="Calibri" w:hAnsi="Calibri"/>
      <w:b/>
      <w:bCs/>
      <w:color w:val="6B4FA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Lin-Dev — Documento Executivo de Rebrand</dc:title>
  <dc:creator>Ceisc Tech</dc:creator>
  <dc:description>Justificativa estratégica da escolha do nome Lin-Dev</dc:description>
  <cp:lastModifiedBy>Un-named</cp:lastModifiedBy>
  <cp:revision>1</cp:revision>
  <dcterms:created xsi:type="dcterms:W3CDTF">2026-04-16T14:45:10.409Z</dcterms:created>
  <dcterms:modified xsi:type="dcterms:W3CDTF">2026-04-16T14:45:10.410Z</dcterms:modified>
</cp:coreProperties>
</file>

<file path=docProps/custom.xml><?xml version="1.0" encoding="utf-8"?>
<Properties xmlns="http://schemas.openxmlformats.org/officeDocument/2006/custom-properties" xmlns:vt="http://schemas.openxmlformats.org/officeDocument/2006/docPropsVTypes"/>
</file>