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E9C" w:rsidRPr="007F66ED" w:rsidRDefault="00421E9C" w:rsidP="007F66ED">
      <w:pPr>
        <w:jc w:val="center"/>
        <w:rPr>
          <w:b/>
          <w:sz w:val="28"/>
          <w:u w:val="single"/>
          <w:lang w:val="en-US"/>
        </w:rPr>
      </w:pPr>
      <w:r w:rsidRPr="007F66ED">
        <w:rPr>
          <w:b/>
          <w:sz w:val="28"/>
          <w:u w:val="single"/>
          <w:lang w:val="en-US"/>
        </w:rPr>
        <w:t>Reference point formation by market investors</w:t>
      </w:r>
    </w:p>
    <w:p w:rsidR="00421E9C" w:rsidRDefault="00421E9C" w:rsidP="007F66ED">
      <w:pPr>
        <w:jc w:val="right"/>
        <w:rPr>
          <w:i/>
          <w:lang w:val="en-US"/>
        </w:rPr>
      </w:pPr>
      <w:r w:rsidRPr="007F66ED">
        <w:rPr>
          <w:i/>
          <w:lang w:val="en-US"/>
        </w:rPr>
        <w:t xml:space="preserve">By Doron </w:t>
      </w:r>
      <w:proofErr w:type="spellStart"/>
      <w:r w:rsidRPr="007F66ED">
        <w:rPr>
          <w:i/>
          <w:lang w:val="en-US"/>
        </w:rPr>
        <w:t>Kliger</w:t>
      </w:r>
      <w:proofErr w:type="spellEnd"/>
      <w:r w:rsidRPr="007F66ED">
        <w:rPr>
          <w:i/>
          <w:lang w:val="en-US"/>
        </w:rPr>
        <w:t xml:space="preserve">, Andrey </w:t>
      </w:r>
      <w:proofErr w:type="spellStart"/>
      <w:r w:rsidRPr="007F66ED">
        <w:rPr>
          <w:i/>
          <w:lang w:val="en-US"/>
        </w:rPr>
        <w:t>Kudryavtsev</w:t>
      </w:r>
      <w:proofErr w:type="spellEnd"/>
      <w:r w:rsidR="007F66ED" w:rsidRPr="007F66ED">
        <w:rPr>
          <w:i/>
          <w:lang w:val="en-US"/>
        </w:rPr>
        <w:t>, Journal of Banking &amp; Finance 32 (2008)</w:t>
      </w:r>
    </w:p>
    <w:p w:rsidR="000173C1" w:rsidRPr="00276346" w:rsidRDefault="000173C1" w:rsidP="00276346">
      <w:pPr>
        <w:pStyle w:val="Paragraphedeliste"/>
        <w:numPr>
          <w:ilvl w:val="0"/>
          <w:numId w:val="4"/>
        </w:numPr>
        <w:rPr>
          <w:b/>
          <w:color w:val="FF0000"/>
          <w:lang w:val="en-US"/>
        </w:rPr>
      </w:pPr>
      <w:r w:rsidRPr="00276346">
        <w:rPr>
          <w:b/>
          <w:color w:val="FF0000"/>
          <w:lang w:val="en-US"/>
        </w:rPr>
        <w:t>ABSTRACT</w:t>
      </w:r>
    </w:p>
    <w:p w:rsidR="005201C3" w:rsidRPr="005201C3" w:rsidRDefault="005201C3" w:rsidP="00CA3FE8">
      <w:pPr>
        <w:jc w:val="both"/>
        <w:rPr>
          <w:lang w:val="en-US"/>
        </w:rPr>
      </w:pPr>
      <w:r>
        <w:rPr>
          <w:lang w:val="en-US"/>
        </w:rPr>
        <w:t xml:space="preserve">Disposition effect </w:t>
      </w:r>
      <w:r w:rsidRPr="005201C3">
        <w:rPr>
          <w:lang w:val="en-US"/>
        </w:rPr>
        <w:t>relies on the notion of a reference point distinguishing between losses and gains</w:t>
      </w:r>
      <w:r>
        <w:rPr>
          <w:lang w:val="en-US"/>
        </w:rPr>
        <w:t>.</w:t>
      </w:r>
    </w:p>
    <w:p w:rsidR="007F66ED" w:rsidRDefault="005201C3" w:rsidP="00CA3FE8">
      <w:pPr>
        <w:jc w:val="both"/>
        <w:rPr>
          <w:lang w:val="en-US"/>
        </w:rPr>
      </w:pPr>
      <w:r w:rsidRPr="005201C3">
        <w:rPr>
          <w:lang w:val="en-US"/>
        </w:rPr>
        <w:t>We hypothesize that salient events taking place during a stock’s holding period influence investors’ perceptions and make them update the stock’s reference point.</w:t>
      </w:r>
    </w:p>
    <w:p w:rsidR="00276346" w:rsidRDefault="005201C3" w:rsidP="00CA3FE8">
      <w:pPr>
        <w:jc w:val="both"/>
        <w:rPr>
          <w:lang w:val="en-US"/>
        </w:rPr>
      </w:pPr>
      <w:r w:rsidRPr="005201C3">
        <w:rPr>
          <w:lang w:val="en-US"/>
        </w:rPr>
        <w:t>We discover that the earnings announcements played a role in reference point formation when they were not anticipated</w:t>
      </w:r>
      <w:r w:rsidR="00276346">
        <w:rPr>
          <w:lang w:val="en-US"/>
        </w:rPr>
        <w:t xml:space="preserve">, </w:t>
      </w:r>
      <w:proofErr w:type="gramStart"/>
      <w:r w:rsidRPr="005201C3">
        <w:rPr>
          <w:lang w:val="en-US"/>
        </w:rPr>
        <w:t>when</w:t>
      </w:r>
      <w:r w:rsidR="00276346">
        <w:rPr>
          <w:lang w:val="en-US"/>
        </w:rPr>
        <w:t xml:space="preserve"> :</w:t>
      </w:r>
      <w:proofErr w:type="gramEnd"/>
      <w:r w:rsidR="00276346">
        <w:rPr>
          <w:lang w:val="en-US"/>
        </w:rPr>
        <w:t xml:space="preserve"> </w:t>
      </w:r>
    </w:p>
    <w:p w:rsidR="00276346" w:rsidRDefault="005201C3" w:rsidP="00CA3FE8">
      <w:pPr>
        <w:pStyle w:val="Paragraphedeliste"/>
        <w:numPr>
          <w:ilvl w:val="0"/>
          <w:numId w:val="5"/>
        </w:numPr>
        <w:jc w:val="both"/>
        <w:rPr>
          <w:lang w:val="en-US"/>
        </w:rPr>
      </w:pPr>
      <w:r w:rsidRPr="00276346">
        <w:rPr>
          <w:lang w:val="en-US"/>
        </w:rPr>
        <w:t>analysts’ earnings forecasts failed to provide accurate predictions</w:t>
      </w:r>
      <w:r w:rsidR="00A91475">
        <w:rPr>
          <w:lang w:val="en-US"/>
        </w:rPr>
        <w:t>,</w:t>
      </w:r>
    </w:p>
    <w:p w:rsidR="005201C3" w:rsidRPr="00276346" w:rsidRDefault="005201C3" w:rsidP="00CA3FE8">
      <w:pPr>
        <w:pStyle w:val="Paragraphedeliste"/>
        <w:numPr>
          <w:ilvl w:val="0"/>
          <w:numId w:val="5"/>
        </w:numPr>
        <w:jc w:val="both"/>
        <w:rPr>
          <w:lang w:val="en-US"/>
        </w:rPr>
      </w:pPr>
      <w:r w:rsidRPr="00276346">
        <w:rPr>
          <w:lang w:val="en-US"/>
        </w:rPr>
        <w:t>earnings announcements were followed by market price reactions.</w:t>
      </w:r>
    </w:p>
    <w:p w:rsidR="000173C1" w:rsidRDefault="000173C1" w:rsidP="00CA3FE8">
      <w:pPr>
        <w:jc w:val="both"/>
        <w:rPr>
          <w:lang w:val="en-US"/>
        </w:rPr>
      </w:pPr>
      <w:r w:rsidRPr="000173C1">
        <w:rPr>
          <w:lang w:val="en-US"/>
        </w:rPr>
        <w:t>In the present work, we argue that investors may modify their view on a financial asset upon the arrival of new information, such as firms’ earnings announcements.</w:t>
      </w:r>
    </w:p>
    <w:p w:rsidR="004D6F67" w:rsidRDefault="004D6F67" w:rsidP="00CA3FE8">
      <w:pPr>
        <w:jc w:val="both"/>
        <w:rPr>
          <w:lang w:val="en-US"/>
        </w:rPr>
      </w:pPr>
      <w:r>
        <w:rPr>
          <w:lang w:val="en-US"/>
        </w:rPr>
        <w:t xml:space="preserve">2 </w:t>
      </w:r>
      <w:r w:rsidRPr="004D6F67">
        <w:rPr>
          <w:lang w:val="en-US"/>
        </w:rPr>
        <w:t xml:space="preserve">testable </w:t>
      </w:r>
      <w:proofErr w:type="gramStart"/>
      <w:r w:rsidRPr="004D6F67">
        <w:rPr>
          <w:lang w:val="en-US"/>
        </w:rPr>
        <w:t>hypotheses</w:t>
      </w:r>
      <w:r>
        <w:rPr>
          <w:lang w:val="en-US"/>
        </w:rPr>
        <w:t xml:space="preserve"> :</w:t>
      </w:r>
      <w:proofErr w:type="gramEnd"/>
    </w:p>
    <w:p w:rsidR="004D6F67" w:rsidRDefault="004D6F67" w:rsidP="00CA3FE8">
      <w:pPr>
        <w:pStyle w:val="Paragraphedeliste"/>
        <w:numPr>
          <w:ilvl w:val="0"/>
          <w:numId w:val="1"/>
        </w:numPr>
        <w:jc w:val="both"/>
        <w:rPr>
          <w:lang w:val="en-US"/>
        </w:rPr>
      </w:pPr>
      <w:r w:rsidRPr="004D6F67">
        <w:rPr>
          <w:lang w:val="en-US"/>
        </w:rPr>
        <w:t xml:space="preserve">unexpected earnings announcements should be followed by investors updating the reference points of their investments, </w:t>
      </w:r>
    </w:p>
    <w:p w:rsidR="00410127" w:rsidRDefault="004D6F67" w:rsidP="00CA3FE8">
      <w:pPr>
        <w:pStyle w:val="Paragraphedeliste"/>
        <w:numPr>
          <w:ilvl w:val="0"/>
          <w:numId w:val="1"/>
        </w:numPr>
        <w:jc w:val="both"/>
        <w:rPr>
          <w:lang w:val="en-US"/>
        </w:rPr>
      </w:pPr>
      <w:r w:rsidRPr="004D6F67">
        <w:rPr>
          <w:lang w:val="en-US"/>
        </w:rPr>
        <w:t xml:space="preserve">such reference point updates should not be detected when the announced </w:t>
      </w:r>
      <w:proofErr w:type="spellStart"/>
      <w:r w:rsidRPr="004D6F67">
        <w:rPr>
          <w:lang w:val="en-US"/>
        </w:rPr>
        <w:t>earning</w:t>
      </w:r>
      <w:proofErr w:type="spellEnd"/>
      <w:r w:rsidRPr="004D6F67">
        <w:rPr>
          <w:lang w:val="en-US"/>
        </w:rPr>
        <w:t xml:space="preserve"> figures were expected by the investors.</w:t>
      </w:r>
    </w:p>
    <w:p w:rsidR="004D6F67" w:rsidRDefault="004D6F67" w:rsidP="004D6F67">
      <w:pPr>
        <w:rPr>
          <w:lang w:val="en-US"/>
        </w:rPr>
      </w:pPr>
    </w:p>
    <w:p w:rsidR="004D6F67" w:rsidRPr="00CA3FE8" w:rsidRDefault="002D6153" w:rsidP="00CA3FE8">
      <w:pPr>
        <w:pStyle w:val="Paragraphedeliste"/>
        <w:numPr>
          <w:ilvl w:val="0"/>
          <w:numId w:val="7"/>
        </w:numPr>
        <w:rPr>
          <w:b/>
          <w:color w:val="FF0000"/>
          <w:lang w:val="en-US"/>
        </w:rPr>
      </w:pPr>
      <w:r w:rsidRPr="00CA3FE8">
        <w:rPr>
          <w:b/>
          <w:color w:val="FF0000"/>
          <w:lang w:val="en-US"/>
        </w:rPr>
        <w:t>OBJECTIVES</w:t>
      </w:r>
    </w:p>
    <w:p w:rsidR="006478D9" w:rsidRPr="006478D9" w:rsidRDefault="006478D9" w:rsidP="000A04BA">
      <w:pPr>
        <w:jc w:val="both"/>
        <w:rPr>
          <w:lang w:val="en-US"/>
        </w:rPr>
      </w:pPr>
      <w:r w:rsidRPr="006478D9">
        <w:rPr>
          <w:lang w:val="en-US"/>
        </w:rPr>
        <w:t xml:space="preserve">The goal of </w:t>
      </w:r>
      <w:r w:rsidR="000A04BA">
        <w:rPr>
          <w:lang w:val="en-US"/>
        </w:rPr>
        <w:t>the study</w:t>
      </w:r>
      <w:r w:rsidRPr="006478D9">
        <w:rPr>
          <w:lang w:val="en-US"/>
        </w:rPr>
        <w:t xml:space="preserve"> is to empirically test whether firm-specific salient events drive investors to update the reference levels they attribute to the prices of the firms’ stocks.</w:t>
      </w:r>
    </w:p>
    <w:p w:rsidR="00774C55" w:rsidRPr="00774C55" w:rsidRDefault="00774C55" w:rsidP="000A04BA">
      <w:pPr>
        <w:jc w:val="both"/>
        <w:rPr>
          <w:lang w:val="en-US"/>
        </w:rPr>
      </w:pPr>
      <w:r w:rsidRPr="00774C55">
        <w:rPr>
          <w:lang w:val="en-US"/>
        </w:rPr>
        <w:t>Our hypothesis that salient firm-specific events</w:t>
      </w:r>
      <w:r w:rsidR="00CC40C9">
        <w:rPr>
          <w:lang w:val="en-US"/>
        </w:rPr>
        <w:t xml:space="preserve"> (</w:t>
      </w:r>
      <w:proofErr w:type="gramStart"/>
      <w:r w:rsidR="00CC40C9">
        <w:rPr>
          <w:lang w:val="en-US"/>
        </w:rPr>
        <w:t>ex :</w:t>
      </w:r>
      <w:proofErr w:type="gramEnd"/>
      <w:r w:rsidR="00CC40C9">
        <w:rPr>
          <w:lang w:val="en-US"/>
        </w:rPr>
        <w:t xml:space="preserve"> </w:t>
      </w:r>
      <w:r w:rsidR="00CC40C9" w:rsidRPr="00CC40C9">
        <w:rPr>
          <w:lang w:val="en-US"/>
        </w:rPr>
        <w:t>firms’ earnings announcements)</w:t>
      </w:r>
      <w:r w:rsidR="00CC40C9">
        <w:rPr>
          <w:lang w:val="en-US"/>
        </w:rPr>
        <w:t xml:space="preserve"> </w:t>
      </w:r>
      <w:r w:rsidRPr="00774C55">
        <w:rPr>
          <w:lang w:val="en-US"/>
        </w:rPr>
        <w:t xml:space="preserve"> may influence investors’ attitudes and modify the reference points may be used to sharpen the reference points’ identification.</w:t>
      </w:r>
    </w:p>
    <w:p w:rsidR="00410127" w:rsidRPr="00D644FA" w:rsidRDefault="00D644FA" w:rsidP="000A04BA">
      <w:pPr>
        <w:jc w:val="both"/>
        <w:rPr>
          <w:lang w:val="en-US"/>
        </w:rPr>
      </w:pPr>
      <w:r w:rsidRPr="00D644FA">
        <w:rPr>
          <w:lang w:val="en-US"/>
        </w:rPr>
        <w:t>For a large sample of stocks, we use market prices and trading volumes to check if the disposition effect is exhibited with respect to the stocks’ prices at the firms’ earnings announcements.</w:t>
      </w:r>
    </w:p>
    <w:p w:rsidR="00410127" w:rsidRPr="00CA3FE8" w:rsidRDefault="00410127" w:rsidP="00CA3FE8">
      <w:pPr>
        <w:pStyle w:val="Paragraphedeliste"/>
        <w:numPr>
          <w:ilvl w:val="0"/>
          <w:numId w:val="7"/>
        </w:numPr>
        <w:rPr>
          <w:b/>
          <w:color w:val="FF0000"/>
          <w:lang w:val="en-US"/>
        </w:rPr>
      </w:pPr>
      <w:r w:rsidRPr="00CA3FE8">
        <w:rPr>
          <w:b/>
          <w:color w:val="FF0000"/>
          <w:lang w:val="en-US"/>
        </w:rPr>
        <w:t>DATA</w:t>
      </w:r>
      <w:r w:rsidR="00CA3FE8">
        <w:rPr>
          <w:b/>
          <w:color w:val="FF0000"/>
          <w:lang w:val="en-US"/>
        </w:rPr>
        <w:t xml:space="preserve"> USED</w:t>
      </w:r>
    </w:p>
    <w:p w:rsidR="00410127" w:rsidRPr="00C77A14" w:rsidRDefault="00D644FA" w:rsidP="000A04BA">
      <w:pPr>
        <w:jc w:val="both"/>
        <w:rPr>
          <w:lang w:val="en-US"/>
        </w:rPr>
      </w:pPr>
      <w:r w:rsidRPr="00D644FA">
        <w:rPr>
          <w:lang w:val="en-US"/>
        </w:rPr>
        <w:t>The main data source for our work is the dataset of quarterly earnings announcements of companies listed on NYSE, NASDAQ, and AMEX,</w:t>
      </w:r>
      <w:r w:rsidR="003F3553">
        <w:rPr>
          <w:lang w:val="en-US"/>
        </w:rPr>
        <w:t xml:space="preserve"> </w:t>
      </w:r>
      <w:r w:rsidR="003F3553" w:rsidRPr="003F3553">
        <w:rPr>
          <w:lang w:val="en-US"/>
        </w:rPr>
        <w:t>as provided by Thomson First Call</w:t>
      </w:r>
      <w:r w:rsidR="00C77A14">
        <w:rPr>
          <w:lang w:val="en-US"/>
        </w:rPr>
        <w:t xml:space="preserve"> </w:t>
      </w:r>
      <w:r w:rsidR="00C77A14" w:rsidRPr="00C77A14">
        <w:rPr>
          <w:lang w:val="en-US"/>
        </w:rPr>
        <w:t>for the first 6 months of the year 2007.</w:t>
      </w:r>
    </w:p>
    <w:p w:rsidR="003F3553" w:rsidRDefault="003F3553" w:rsidP="000A04BA">
      <w:pPr>
        <w:jc w:val="both"/>
        <w:rPr>
          <w:lang w:val="en-US"/>
        </w:rPr>
      </w:pPr>
      <w:r w:rsidRPr="003F3553">
        <w:rPr>
          <w:lang w:val="en-US"/>
        </w:rPr>
        <w:t>This dataset defines a firm’s earnings surprise as the difference between its actual quarterly EPS and consensus EPS (an average of the estimates by all analysts following the company).</w:t>
      </w:r>
    </w:p>
    <w:p w:rsidR="00482676" w:rsidRDefault="00482676" w:rsidP="000A04BA">
      <w:pPr>
        <w:jc w:val="both"/>
        <w:rPr>
          <w:lang w:val="en-US"/>
        </w:rPr>
      </w:pPr>
      <w:r w:rsidRPr="00482676">
        <w:rPr>
          <w:lang w:val="en-US"/>
        </w:rPr>
        <w:t xml:space="preserve">The earnings surprises in the dataset are updated following firms’ earnings publications and are classified into </w:t>
      </w:r>
      <w:r w:rsidR="000A04BA">
        <w:rPr>
          <w:lang w:val="en-US"/>
        </w:rPr>
        <w:t>3</w:t>
      </w:r>
      <w:r w:rsidRPr="00482676">
        <w:rPr>
          <w:lang w:val="en-US"/>
        </w:rPr>
        <w:t xml:space="preserve"> categories: </w:t>
      </w:r>
    </w:p>
    <w:p w:rsidR="00482676" w:rsidRDefault="00482676" w:rsidP="000A04BA">
      <w:pPr>
        <w:pStyle w:val="Paragraphedeliste"/>
        <w:numPr>
          <w:ilvl w:val="0"/>
          <w:numId w:val="1"/>
        </w:numPr>
        <w:jc w:val="both"/>
        <w:rPr>
          <w:lang w:val="en-US"/>
        </w:rPr>
      </w:pPr>
      <w:r w:rsidRPr="00482676">
        <w:rPr>
          <w:lang w:val="en-US"/>
        </w:rPr>
        <w:t xml:space="preserve">upside surprises (US; actual EPS &gt; consensus EPS), </w:t>
      </w:r>
    </w:p>
    <w:p w:rsidR="00482676" w:rsidRDefault="00482676" w:rsidP="000A04BA">
      <w:pPr>
        <w:pStyle w:val="Paragraphedeliste"/>
        <w:numPr>
          <w:ilvl w:val="0"/>
          <w:numId w:val="1"/>
        </w:numPr>
        <w:jc w:val="both"/>
        <w:rPr>
          <w:lang w:val="en-US"/>
        </w:rPr>
      </w:pPr>
      <w:r w:rsidRPr="00482676">
        <w:rPr>
          <w:lang w:val="en-US"/>
        </w:rPr>
        <w:t xml:space="preserve">met expectations (ME; actual EPS = consensus EPS), </w:t>
      </w:r>
    </w:p>
    <w:p w:rsidR="00482676" w:rsidRPr="00482676" w:rsidRDefault="00482676" w:rsidP="000A04BA">
      <w:pPr>
        <w:pStyle w:val="Paragraphedeliste"/>
        <w:numPr>
          <w:ilvl w:val="0"/>
          <w:numId w:val="1"/>
        </w:numPr>
        <w:jc w:val="both"/>
        <w:rPr>
          <w:lang w:val="en-US"/>
        </w:rPr>
      </w:pPr>
      <w:r w:rsidRPr="00482676">
        <w:rPr>
          <w:lang w:val="en-US"/>
        </w:rPr>
        <w:t>downside surprises (DS; actual EPS &lt; consensus EPS).</w:t>
      </w:r>
    </w:p>
    <w:p w:rsidR="00410127" w:rsidRDefault="006478D9" w:rsidP="000A04BA">
      <w:pPr>
        <w:jc w:val="both"/>
        <w:rPr>
          <w:lang w:val="en-US"/>
        </w:rPr>
      </w:pPr>
      <w:r w:rsidRPr="006478D9">
        <w:rPr>
          <w:lang w:val="en-US"/>
        </w:rPr>
        <w:lastRenderedPageBreak/>
        <w:t>The basic idea of the proposed tests is to compare the trading volumes at upward and downward crossings of the hypothesized reference level, measured by the closing stock price on the day following the announcement.</w:t>
      </w:r>
    </w:p>
    <w:p w:rsidR="000A04BA" w:rsidRDefault="00DB4CBA" w:rsidP="000A04BA">
      <w:pPr>
        <w:jc w:val="both"/>
        <w:rPr>
          <w:lang w:val="en-US"/>
        </w:rPr>
      </w:pPr>
      <w:r w:rsidRPr="00DB4CBA">
        <w:rPr>
          <w:lang w:val="en-US"/>
        </w:rPr>
        <w:t xml:space="preserve">We record the trading volumes at the above defined price crossings for each event in our sample, provided that they took </w:t>
      </w:r>
      <w:proofErr w:type="gramStart"/>
      <w:r w:rsidRPr="00DB4CBA">
        <w:rPr>
          <w:lang w:val="en-US"/>
        </w:rPr>
        <w:t xml:space="preserve">place </w:t>
      </w:r>
      <w:r w:rsidR="000A04BA">
        <w:rPr>
          <w:lang w:val="en-US"/>
        </w:rPr>
        <w:t>:</w:t>
      </w:r>
      <w:proofErr w:type="gramEnd"/>
    </w:p>
    <w:p w:rsidR="000A04BA" w:rsidRDefault="00DB4CBA" w:rsidP="000A04BA">
      <w:pPr>
        <w:pStyle w:val="Paragraphedeliste"/>
        <w:numPr>
          <w:ilvl w:val="0"/>
          <w:numId w:val="1"/>
        </w:numPr>
        <w:jc w:val="both"/>
        <w:rPr>
          <w:lang w:val="en-US"/>
        </w:rPr>
      </w:pPr>
      <w:r w:rsidRPr="000A04BA">
        <w:rPr>
          <w:lang w:val="en-US"/>
        </w:rPr>
        <w:t>before the firm’s subsequent quarterly earnings announcement</w:t>
      </w:r>
      <w:r w:rsidR="00777EDA" w:rsidRPr="000A04BA">
        <w:rPr>
          <w:lang w:val="en-US"/>
        </w:rPr>
        <w:t xml:space="preserve"> </w:t>
      </w:r>
    </w:p>
    <w:p w:rsidR="00DB4CBA" w:rsidRPr="000A04BA" w:rsidRDefault="00DB4CBA" w:rsidP="000A04BA">
      <w:pPr>
        <w:pStyle w:val="Paragraphedeliste"/>
        <w:numPr>
          <w:ilvl w:val="0"/>
          <w:numId w:val="1"/>
        </w:numPr>
        <w:jc w:val="both"/>
        <w:rPr>
          <w:lang w:val="en-US"/>
        </w:rPr>
      </w:pPr>
      <w:r w:rsidRPr="000A04BA">
        <w:rPr>
          <w:lang w:val="en-US"/>
        </w:rPr>
        <w:t>within 70 days from the firm’s earnings announcement day.</w:t>
      </w:r>
      <w:r w:rsidR="00F53D03" w:rsidRPr="000A04BA">
        <w:rPr>
          <w:lang w:val="en-US"/>
        </w:rPr>
        <w:t xml:space="preserve"> One upward and one downward crossing are recorded for each stock.</w:t>
      </w:r>
    </w:p>
    <w:p w:rsidR="00F53D03" w:rsidRDefault="00F53D03" w:rsidP="000A04BA">
      <w:pPr>
        <w:jc w:val="both"/>
        <w:rPr>
          <w:lang w:val="en-US"/>
        </w:rPr>
      </w:pPr>
      <w:r>
        <w:rPr>
          <w:lang w:val="en-US"/>
        </w:rPr>
        <w:t xml:space="preserve">We </w:t>
      </w:r>
      <w:proofErr w:type="gramStart"/>
      <w:r>
        <w:rPr>
          <w:lang w:val="en-US"/>
        </w:rPr>
        <w:t>exclude :</w:t>
      </w:r>
      <w:proofErr w:type="gramEnd"/>
      <w:r>
        <w:rPr>
          <w:lang w:val="en-US"/>
        </w:rPr>
        <w:t xml:space="preserve"> </w:t>
      </w:r>
    </w:p>
    <w:p w:rsidR="00F53D03" w:rsidRDefault="00F53D03" w:rsidP="000A04BA">
      <w:pPr>
        <w:pStyle w:val="Paragraphedeliste"/>
        <w:numPr>
          <w:ilvl w:val="0"/>
          <w:numId w:val="1"/>
        </w:numPr>
        <w:jc w:val="both"/>
        <w:rPr>
          <w:lang w:val="en-US"/>
        </w:rPr>
      </w:pPr>
      <w:r w:rsidRPr="00F53D03">
        <w:rPr>
          <w:lang w:val="en-US"/>
        </w:rPr>
        <w:t>Stocks without such data over the specified time period</w:t>
      </w:r>
    </w:p>
    <w:p w:rsidR="00F53D03" w:rsidRDefault="000A04BA" w:rsidP="000A04BA">
      <w:pPr>
        <w:pStyle w:val="Paragraphedeliste"/>
        <w:numPr>
          <w:ilvl w:val="0"/>
          <w:numId w:val="1"/>
        </w:numPr>
        <w:jc w:val="both"/>
        <w:rPr>
          <w:lang w:val="en-US"/>
        </w:rPr>
      </w:pPr>
      <w:r>
        <w:rPr>
          <w:lang w:val="en-US"/>
        </w:rPr>
        <w:t>S</w:t>
      </w:r>
      <w:r w:rsidR="00F53D03" w:rsidRPr="00F53D03">
        <w:rPr>
          <w:lang w:val="en-US"/>
        </w:rPr>
        <w:t>tocks with less than one year of trading data available prior to the earnings announcement and stocks without information on the value of the respective firm’s market capitalization</w:t>
      </w:r>
    </w:p>
    <w:p w:rsidR="00F53D03" w:rsidRDefault="000A04BA" w:rsidP="000A04BA">
      <w:pPr>
        <w:jc w:val="both"/>
        <w:rPr>
          <w:lang w:val="en-US"/>
        </w:rPr>
      </w:pPr>
      <w:r>
        <w:rPr>
          <w:lang w:val="en-US"/>
        </w:rPr>
        <w:t>W</w:t>
      </w:r>
      <w:r w:rsidR="00F53D03" w:rsidRPr="00F53D03">
        <w:rPr>
          <w:lang w:val="en-US"/>
        </w:rPr>
        <w:t>e obtain our working sample of 4517 earnings surprises for 3126 distinct firms.</w:t>
      </w:r>
    </w:p>
    <w:p w:rsidR="00333C30" w:rsidRDefault="00333C30" w:rsidP="00F53D03">
      <w:pPr>
        <w:rPr>
          <w:lang w:val="en-US"/>
        </w:rPr>
      </w:pPr>
      <w:r>
        <w:rPr>
          <w:noProof/>
        </w:rPr>
        <w:drawing>
          <wp:inline distT="0" distB="0" distL="0" distR="0" wp14:anchorId="262EF71D" wp14:editId="6763D89D">
            <wp:extent cx="5760720" cy="18821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82140"/>
                    </a:xfrm>
                    <a:prstGeom prst="rect">
                      <a:avLst/>
                    </a:prstGeom>
                  </pic:spPr>
                </pic:pic>
              </a:graphicData>
            </a:graphic>
          </wp:inline>
        </w:drawing>
      </w:r>
    </w:p>
    <w:p w:rsidR="00786A7B" w:rsidRPr="000A04BA" w:rsidRDefault="00786A7B" w:rsidP="000A04BA">
      <w:pPr>
        <w:pStyle w:val="Paragraphedeliste"/>
        <w:numPr>
          <w:ilvl w:val="0"/>
          <w:numId w:val="7"/>
        </w:numPr>
        <w:jc w:val="both"/>
        <w:rPr>
          <w:b/>
          <w:color w:val="FF0000"/>
          <w:lang w:val="en-US"/>
        </w:rPr>
      </w:pPr>
      <w:r w:rsidRPr="000A04BA">
        <w:rPr>
          <w:b/>
          <w:color w:val="FF0000"/>
          <w:lang w:val="en-US"/>
        </w:rPr>
        <w:t>METHODS</w:t>
      </w:r>
    </w:p>
    <w:p w:rsidR="00786A7B" w:rsidRDefault="00786A7B" w:rsidP="000A04BA">
      <w:pPr>
        <w:jc w:val="both"/>
        <w:rPr>
          <w:lang w:val="en-US"/>
        </w:rPr>
      </w:pPr>
      <w:r w:rsidRPr="00786A7B">
        <w:rPr>
          <w:lang w:val="en-US"/>
        </w:rPr>
        <w:t xml:space="preserve">For assessing the news content in the earnings announcements, we divide the sample according to </w:t>
      </w:r>
      <w:r w:rsidR="00F712F6">
        <w:rPr>
          <w:lang w:val="en-US"/>
        </w:rPr>
        <w:t>2</w:t>
      </w:r>
      <w:r w:rsidRPr="00786A7B">
        <w:rPr>
          <w:lang w:val="en-US"/>
        </w:rPr>
        <w:t xml:space="preserve"> ‘‘news” </w:t>
      </w:r>
      <w:proofErr w:type="gramStart"/>
      <w:r w:rsidRPr="00786A7B">
        <w:rPr>
          <w:lang w:val="en-US"/>
        </w:rPr>
        <w:t xml:space="preserve">proxies </w:t>
      </w:r>
      <w:r>
        <w:rPr>
          <w:lang w:val="en-US"/>
        </w:rPr>
        <w:t>:</w:t>
      </w:r>
      <w:proofErr w:type="gramEnd"/>
    </w:p>
    <w:p w:rsidR="00F712F6" w:rsidRDefault="00786A7B" w:rsidP="000A04BA">
      <w:pPr>
        <w:pStyle w:val="Paragraphedeliste"/>
        <w:numPr>
          <w:ilvl w:val="0"/>
          <w:numId w:val="1"/>
        </w:numPr>
        <w:jc w:val="both"/>
        <w:rPr>
          <w:lang w:val="en-US"/>
        </w:rPr>
      </w:pPr>
      <w:r w:rsidRPr="00786A7B">
        <w:rPr>
          <w:lang w:val="en-US"/>
        </w:rPr>
        <w:t>earnings surprise: the surprise relatively</w:t>
      </w:r>
      <w:r w:rsidR="00F712F6">
        <w:rPr>
          <w:lang w:val="en-US"/>
        </w:rPr>
        <w:t xml:space="preserve"> </w:t>
      </w:r>
      <w:r w:rsidR="00F712F6" w:rsidRPr="00F712F6">
        <w:rPr>
          <w:lang w:val="en-US"/>
        </w:rPr>
        <w:t>to the analysts’ opinion (US, ME and DS)</w:t>
      </w:r>
      <w:r w:rsidR="00F712F6">
        <w:rPr>
          <w:lang w:val="en-US"/>
        </w:rPr>
        <w:t>,</w:t>
      </w:r>
    </w:p>
    <w:p w:rsidR="00786A7B" w:rsidRDefault="00F712F6" w:rsidP="000A04BA">
      <w:pPr>
        <w:pStyle w:val="Paragraphedeliste"/>
        <w:numPr>
          <w:ilvl w:val="0"/>
          <w:numId w:val="1"/>
        </w:numPr>
        <w:jc w:val="both"/>
        <w:rPr>
          <w:lang w:val="en-US"/>
        </w:rPr>
      </w:pPr>
      <w:r w:rsidRPr="00F712F6">
        <w:rPr>
          <w:lang w:val="en-US"/>
        </w:rPr>
        <w:t>market reaction: the market-model adjusted (MMA) stock price reaction to the earning announcement.</w:t>
      </w:r>
    </w:p>
    <w:p w:rsidR="00A94501" w:rsidRDefault="00A94501" w:rsidP="000A04BA">
      <w:pPr>
        <w:jc w:val="both"/>
        <w:rPr>
          <w:lang w:val="en-US"/>
        </w:rPr>
      </w:pPr>
      <w:r>
        <w:rPr>
          <w:lang w:val="en-US"/>
        </w:rPr>
        <w:t>E</w:t>
      </w:r>
      <w:r w:rsidRPr="00A94501">
        <w:rPr>
          <w:lang w:val="en-US"/>
        </w:rPr>
        <w:t xml:space="preserve">vents are classified into </w:t>
      </w:r>
      <w:r>
        <w:rPr>
          <w:lang w:val="en-US"/>
        </w:rPr>
        <w:t>3</w:t>
      </w:r>
      <w:r w:rsidRPr="00A94501">
        <w:rPr>
          <w:lang w:val="en-US"/>
        </w:rPr>
        <w:t xml:space="preserve"> roughly equally sized categories: </w:t>
      </w:r>
    </w:p>
    <w:p w:rsidR="00A94501" w:rsidRDefault="00A94501" w:rsidP="000A04BA">
      <w:pPr>
        <w:pStyle w:val="Paragraphedeliste"/>
        <w:numPr>
          <w:ilvl w:val="0"/>
          <w:numId w:val="1"/>
        </w:numPr>
        <w:jc w:val="both"/>
        <w:rPr>
          <w:lang w:val="en-US"/>
        </w:rPr>
      </w:pPr>
      <w:r w:rsidRPr="00A94501">
        <w:rPr>
          <w:b/>
          <w:lang w:val="en-US"/>
        </w:rPr>
        <w:t>positive return (</w:t>
      </w:r>
      <w:proofErr w:type="gramStart"/>
      <w:r w:rsidRPr="00A94501">
        <w:rPr>
          <w:b/>
          <w:lang w:val="en-US"/>
        </w:rPr>
        <w:t>PR)</w:t>
      </w:r>
      <w:r w:rsidRPr="00A94501">
        <w:rPr>
          <w:lang w:val="en-US"/>
        </w:rPr>
        <w:t xml:space="preserve"> </w:t>
      </w:r>
      <w:r>
        <w:rPr>
          <w:lang w:val="en-US"/>
        </w:rPr>
        <w:t xml:space="preserve"> :</w:t>
      </w:r>
      <w:proofErr w:type="gramEnd"/>
      <w:r>
        <w:rPr>
          <w:lang w:val="en-US"/>
        </w:rPr>
        <w:t xml:space="preserve"> </w:t>
      </w:r>
      <w:r w:rsidRPr="00A94501">
        <w:rPr>
          <w:lang w:val="en-US"/>
        </w:rPr>
        <w:t xml:space="preserve"> MMA abnormal stock return around the event </w:t>
      </w:r>
      <w:r>
        <w:rPr>
          <w:lang w:val="en-US"/>
        </w:rPr>
        <w:t>&gt;</w:t>
      </w:r>
      <w:r w:rsidRPr="00A94501">
        <w:rPr>
          <w:lang w:val="en-US"/>
        </w:rPr>
        <w:t xml:space="preserve"> 1.36%</w:t>
      </w:r>
      <w:r>
        <w:rPr>
          <w:lang w:val="en-US"/>
        </w:rPr>
        <w:t>.</w:t>
      </w:r>
    </w:p>
    <w:p w:rsidR="00A94501" w:rsidRDefault="00A94501" w:rsidP="000A04BA">
      <w:pPr>
        <w:pStyle w:val="Paragraphedeliste"/>
        <w:numPr>
          <w:ilvl w:val="0"/>
          <w:numId w:val="1"/>
        </w:numPr>
        <w:jc w:val="both"/>
        <w:rPr>
          <w:lang w:val="en-US"/>
        </w:rPr>
      </w:pPr>
      <w:r w:rsidRPr="00A94501">
        <w:rPr>
          <w:b/>
          <w:lang w:val="en-US"/>
        </w:rPr>
        <w:t>intermediate return (IR</w:t>
      </w:r>
      <w:proofErr w:type="gramStart"/>
      <w:r w:rsidRPr="00A94501">
        <w:rPr>
          <w:b/>
          <w:lang w:val="en-US"/>
        </w:rPr>
        <w:t>)</w:t>
      </w:r>
      <w:r w:rsidRPr="00A94501">
        <w:rPr>
          <w:lang w:val="en-US"/>
        </w:rPr>
        <w:t xml:space="preserve"> </w:t>
      </w:r>
      <w:r>
        <w:rPr>
          <w:lang w:val="en-US"/>
        </w:rPr>
        <w:t>:</w:t>
      </w:r>
      <w:proofErr w:type="gramEnd"/>
      <w:r>
        <w:rPr>
          <w:lang w:val="en-US"/>
        </w:rPr>
        <w:t xml:space="preserve"> </w:t>
      </w:r>
      <w:r w:rsidRPr="00A94501">
        <w:rPr>
          <w:lang w:val="en-US"/>
        </w:rPr>
        <w:t>1.36%</w:t>
      </w:r>
      <w:r>
        <w:rPr>
          <w:lang w:val="en-US"/>
        </w:rPr>
        <w:t xml:space="preserve"> &lt; </w:t>
      </w:r>
      <w:r w:rsidRPr="00A94501">
        <w:rPr>
          <w:lang w:val="en-US"/>
        </w:rPr>
        <w:t>MMA abnormal return is between 2.09%</w:t>
      </w:r>
      <w:r>
        <w:rPr>
          <w:lang w:val="en-US"/>
        </w:rPr>
        <w:t>.</w:t>
      </w:r>
      <w:r w:rsidRPr="00A94501">
        <w:rPr>
          <w:lang w:val="en-US"/>
        </w:rPr>
        <w:t xml:space="preserve"> </w:t>
      </w:r>
    </w:p>
    <w:p w:rsidR="00A94501" w:rsidRDefault="00A94501" w:rsidP="000A04BA">
      <w:pPr>
        <w:pStyle w:val="Paragraphedeliste"/>
        <w:numPr>
          <w:ilvl w:val="0"/>
          <w:numId w:val="1"/>
        </w:numPr>
        <w:jc w:val="both"/>
        <w:rPr>
          <w:lang w:val="en-US"/>
        </w:rPr>
      </w:pPr>
      <w:r w:rsidRPr="00A94501">
        <w:rPr>
          <w:b/>
          <w:lang w:val="en-US"/>
        </w:rPr>
        <w:t>negative return (NR</w:t>
      </w:r>
      <w:proofErr w:type="gramStart"/>
      <w:r w:rsidRPr="00A94501">
        <w:rPr>
          <w:b/>
          <w:lang w:val="en-US"/>
        </w:rPr>
        <w:t>)</w:t>
      </w:r>
      <w:r>
        <w:rPr>
          <w:b/>
          <w:lang w:val="en-US"/>
        </w:rPr>
        <w:t xml:space="preserve"> :</w:t>
      </w:r>
      <w:proofErr w:type="gramEnd"/>
      <w:r>
        <w:rPr>
          <w:b/>
          <w:lang w:val="en-US"/>
        </w:rPr>
        <w:t xml:space="preserve"> </w:t>
      </w:r>
      <w:r w:rsidRPr="00A94501">
        <w:rPr>
          <w:lang w:val="en-US"/>
        </w:rPr>
        <w:t xml:space="preserve">MMA abnormal return </w:t>
      </w:r>
      <w:r>
        <w:rPr>
          <w:lang w:val="en-US"/>
        </w:rPr>
        <w:t>&lt;</w:t>
      </w:r>
      <w:r w:rsidRPr="00A94501">
        <w:rPr>
          <w:lang w:val="en-US"/>
        </w:rPr>
        <w:t xml:space="preserve"> 2.09%.</w:t>
      </w:r>
    </w:p>
    <w:p w:rsidR="0058402E" w:rsidRDefault="00356C7A" w:rsidP="000A04BA">
      <w:pPr>
        <w:jc w:val="both"/>
        <w:rPr>
          <w:lang w:val="en-US"/>
        </w:rPr>
      </w:pPr>
      <w:r>
        <w:rPr>
          <w:lang w:val="en-US"/>
        </w:rPr>
        <w:t xml:space="preserve">To </w:t>
      </w:r>
      <w:r w:rsidRPr="00356C7A">
        <w:rPr>
          <w:lang w:val="en-US"/>
        </w:rPr>
        <w:t>estimated</w:t>
      </w:r>
      <w:r>
        <w:rPr>
          <w:lang w:val="en-US"/>
        </w:rPr>
        <w:t xml:space="preserve"> </w:t>
      </w:r>
      <w:r w:rsidRPr="00356C7A">
        <w:rPr>
          <w:lang w:val="en-US"/>
        </w:rPr>
        <w:t>return-related volume pattern</w:t>
      </w:r>
      <w:r>
        <w:rPr>
          <w:lang w:val="en-US"/>
        </w:rPr>
        <w:t xml:space="preserve">, we use </w:t>
      </w:r>
      <w:r w:rsidRPr="00356C7A">
        <w:rPr>
          <w:lang w:val="en-US"/>
        </w:rPr>
        <w:t>price and trading volume data for the 251 trading days preceding each earnings announcement</w:t>
      </w:r>
      <w:r>
        <w:rPr>
          <w:lang w:val="en-US"/>
        </w:rPr>
        <w:t>.</w:t>
      </w:r>
    </w:p>
    <w:p w:rsidR="00411BCB" w:rsidRDefault="008F0417" w:rsidP="000A04BA">
      <w:pPr>
        <w:pStyle w:val="Sansinterligne"/>
        <w:jc w:val="both"/>
        <w:rPr>
          <w:i/>
          <w:lang w:val="en-US"/>
        </w:rPr>
      </w:pPr>
      <w:r>
        <w:rPr>
          <w:noProof/>
        </w:rPr>
        <w:drawing>
          <wp:anchor distT="0" distB="0" distL="114300" distR="114300" simplePos="0" relativeHeight="251658240" behindDoc="0" locked="0" layoutInCell="1" allowOverlap="1" wp14:anchorId="4707ED41">
            <wp:simplePos x="0" y="0"/>
            <wp:positionH relativeFrom="margin">
              <wp:align>left</wp:align>
            </wp:positionH>
            <wp:positionV relativeFrom="paragraph">
              <wp:posOffset>9525</wp:posOffset>
            </wp:positionV>
            <wp:extent cx="1847850" cy="2762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7178" cy="282694"/>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11BCB" w:rsidRPr="00411BCB">
        <w:rPr>
          <w:i/>
          <w:lang w:val="en-US"/>
        </w:rPr>
        <w:t>ln(</w:t>
      </w:r>
      <w:proofErr w:type="gramEnd"/>
      <w:r w:rsidR="00411BCB" w:rsidRPr="00411BCB">
        <w:rPr>
          <w:i/>
          <w:lang w:val="en-US"/>
        </w:rPr>
        <w:t>V</w:t>
      </w:r>
      <w:r w:rsidR="00411BCB" w:rsidRPr="00411BCB">
        <w:rPr>
          <w:i/>
          <w:vertAlign w:val="subscript"/>
          <w:lang w:val="en-US"/>
        </w:rPr>
        <w:t>it</w:t>
      </w:r>
      <w:r w:rsidR="00411BCB" w:rsidRPr="00411BCB">
        <w:rPr>
          <w:i/>
          <w:lang w:val="en-US"/>
        </w:rPr>
        <w:t xml:space="preserve">) = natural logarithm of the stock’s trading volume on day t for firm-specific (earnings-announcement) event </w:t>
      </w:r>
      <w:proofErr w:type="spellStart"/>
      <w:r w:rsidR="00411BCB" w:rsidRPr="00411BCB">
        <w:rPr>
          <w:i/>
          <w:lang w:val="en-US"/>
        </w:rPr>
        <w:t>i</w:t>
      </w:r>
      <w:proofErr w:type="spellEnd"/>
      <w:r w:rsidR="00411BCB" w:rsidRPr="00411BCB">
        <w:rPr>
          <w:i/>
          <w:lang w:val="en-US"/>
        </w:rPr>
        <w:t>.</w:t>
      </w:r>
    </w:p>
    <w:p w:rsidR="000A04BA" w:rsidRPr="000A04BA" w:rsidRDefault="000A04BA" w:rsidP="000A04BA">
      <w:pPr>
        <w:pStyle w:val="Sansinterligne"/>
        <w:jc w:val="both"/>
        <w:rPr>
          <w:i/>
          <w:sz w:val="4"/>
          <w:szCs w:val="2"/>
          <w:lang w:val="en-US"/>
        </w:rPr>
      </w:pPr>
    </w:p>
    <w:p w:rsidR="00411BCB" w:rsidRDefault="00411BCB" w:rsidP="000A04BA">
      <w:pPr>
        <w:pStyle w:val="Sansinterligne"/>
        <w:jc w:val="both"/>
        <w:rPr>
          <w:i/>
          <w:lang w:val="en-US"/>
        </w:rPr>
      </w:pPr>
      <w:proofErr w:type="spellStart"/>
      <w:r w:rsidRPr="00411BCB">
        <w:rPr>
          <w:i/>
          <w:lang w:val="en-US"/>
        </w:rPr>
        <w:t>dir_</w:t>
      </w:r>
      <w:proofErr w:type="gramStart"/>
      <w:r w:rsidRPr="00411BCB">
        <w:rPr>
          <w:i/>
          <w:lang w:val="en-US"/>
        </w:rPr>
        <w:t>dummy</w:t>
      </w:r>
      <w:r w:rsidRPr="00411BCB">
        <w:rPr>
          <w:i/>
          <w:vertAlign w:val="subscript"/>
          <w:lang w:val="en-US"/>
        </w:rPr>
        <w:t>it</w:t>
      </w:r>
      <w:proofErr w:type="spellEnd"/>
      <w:r w:rsidRPr="00411BCB">
        <w:rPr>
          <w:i/>
          <w:lang w:val="en-US"/>
        </w:rPr>
        <w:t xml:space="preserve"> </w:t>
      </w:r>
      <w:r>
        <w:rPr>
          <w:i/>
          <w:lang w:val="en-US"/>
        </w:rPr>
        <w:t xml:space="preserve"> </w:t>
      </w:r>
      <w:r w:rsidRPr="00411BCB">
        <w:rPr>
          <w:i/>
          <w:lang w:val="en-US"/>
        </w:rPr>
        <w:t>=</w:t>
      </w:r>
      <w:proofErr w:type="gramEnd"/>
      <w:r w:rsidRPr="00411BCB">
        <w:rPr>
          <w:i/>
          <w:lang w:val="en-US"/>
        </w:rPr>
        <w:t xml:space="preserve">  dummy variable taking the value 1 if the day-t return on the stock for which event </w:t>
      </w:r>
      <w:proofErr w:type="spellStart"/>
      <w:r w:rsidRPr="00411BCB">
        <w:rPr>
          <w:i/>
          <w:lang w:val="en-US"/>
        </w:rPr>
        <w:t>i</w:t>
      </w:r>
      <w:proofErr w:type="spellEnd"/>
      <w:r w:rsidRPr="00411BCB">
        <w:rPr>
          <w:i/>
          <w:lang w:val="en-US"/>
        </w:rPr>
        <w:t xml:space="preserve"> took place was positive, and 0 otherwise. </w:t>
      </w:r>
    </w:p>
    <w:p w:rsidR="000A04BA" w:rsidRPr="000A04BA" w:rsidRDefault="000A04BA" w:rsidP="000A04BA">
      <w:pPr>
        <w:pStyle w:val="Sansinterligne"/>
        <w:jc w:val="both"/>
        <w:rPr>
          <w:i/>
          <w:sz w:val="2"/>
          <w:szCs w:val="2"/>
          <w:lang w:val="en-US"/>
        </w:rPr>
      </w:pPr>
    </w:p>
    <w:p w:rsidR="00411BCB" w:rsidRDefault="00411BCB" w:rsidP="000A04BA">
      <w:pPr>
        <w:pStyle w:val="Sansinterligne"/>
        <w:jc w:val="both"/>
        <w:rPr>
          <w:i/>
          <w:lang w:val="en-US"/>
        </w:rPr>
      </w:pPr>
      <m:oMath>
        <m:r>
          <w:rPr>
            <w:rFonts w:ascii="Cambria Math" w:hAnsi="Cambria Math"/>
            <w:lang w:val="en-US"/>
          </w:rPr>
          <m:t>γi</m:t>
        </m:r>
      </m:oMath>
      <w:r w:rsidRPr="00411BCB">
        <w:rPr>
          <w:i/>
          <w:lang w:val="en-US"/>
        </w:rPr>
        <w:t xml:space="preserve"> coefficients provide estimates for the (natural log) volume differences between days with positive and negative stock returns.</w:t>
      </w:r>
    </w:p>
    <w:p w:rsidR="00D631AB" w:rsidRDefault="00D631AB" w:rsidP="000A04BA">
      <w:pPr>
        <w:jc w:val="both"/>
        <w:rPr>
          <w:lang w:val="en-US"/>
        </w:rPr>
      </w:pPr>
      <w:r w:rsidRPr="00D631AB">
        <w:rPr>
          <w:lang w:val="en-US"/>
        </w:rPr>
        <w:lastRenderedPageBreak/>
        <w:t xml:space="preserve">The regressions yield positive </w:t>
      </w:r>
      <m:oMath>
        <m:r>
          <w:rPr>
            <w:rFonts w:ascii="Cambria Math" w:hAnsi="Cambria Math"/>
            <w:lang w:val="en-US"/>
          </w:rPr>
          <m:t>γi</m:t>
        </m:r>
      </m:oMath>
      <w:r w:rsidRPr="00D631AB">
        <w:rPr>
          <w:lang w:val="en-US"/>
        </w:rPr>
        <w:t xml:space="preserve"> estimates for </w:t>
      </w:r>
      <w:proofErr w:type="gramStart"/>
      <w:r w:rsidRPr="00D631AB">
        <w:rPr>
          <w:lang w:val="en-US"/>
        </w:rPr>
        <w:t>the majority of</w:t>
      </w:r>
      <w:proofErr w:type="gramEnd"/>
      <w:r w:rsidRPr="00D631AB">
        <w:rPr>
          <w:lang w:val="en-US"/>
        </w:rPr>
        <w:t xml:space="preserve"> the events</w:t>
      </w:r>
      <w:r>
        <w:rPr>
          <w:lang w:val="en-US"/>
        </w:rPr>
        <w:t xml:space="preserve"> </w:t>
      </w:r>
      <w:r w:rsidRPr="00D631AB">
        <w:rPr>
          <w:lang w:val="en-US"/>
        </w:rPr>
        <w:sym w:font="Wingdings" w:char="F0E0"/>
      </w:r>
      <w:r w:rsidRPr="00D631AB">
        <w:rPr>
          <w:lang w:val="en-US"/>
        </w:rPr>
        <w:t xml:space="preserve"> suggest that the trading volume at positive return days is generally </w:t>
      </w:r>
      <w:r>
        <w:rPr>
          <w:lang w:val="en-US"/>
        </w:rPr>
        <w:t>&gt;</w:t>
      </w:r>
      <w:r w:rsidRPr="00D631AB">
        <w:rPr>
          <w:lang w:val="en-US"/>
        </w:rPr>
        <w:t xml:space="preserve"> at negative return days. </w:t>
      </w:r>
    </w:p>
    <w:p w:rsidR="00D631AB" w:rsidRDefault="00D631AB" w:rsidP="000A04BA">
      <w:pPr>
        <w:jc w:val="both"/>
        <w:rPr>
          <w:lang w:val="en-US"/>
        </w:rPr>
      </w:pPr>
      <w:r w:rsidRPr="00D631AB">
        <w:rPr>
          <w:lang w:val="en-US"/>
        </w:rPr>
        <w:t xml:space="preserve">To control for the influence of this returnrelated volume pattern, we compute adjusted volumes at upward </w:t>
      </w:r>
      <w:proofErr w:type="gramStart"/>
      <w:r w:rsidRPr="00D631AB">
        <w:rPr>
          <w:lang w:val="en-US"/>
        </w:rPr>
        <w:t>crossings</w:t>
      </w:r>
      <w:r w:rsidR="0096092C">
        <w:rPr>
          <w:lang w:val="en-US"/>
        </w:rPr>
        <w:t xml:space="preserve"> </w:t>
      </w:r>
      <w:r w:rsidRPr="00D631AB">
        <w:rPr>
          <w:lang w:val="en-US"/>
        </w:rPr>
        <w:t>:</w:t>
      </w:r>
      <w:proofErr w:type="gramEnd"/>
    </w:p>
    <w:p w:rsidR="00BA26B3" w:rsidRDefault="00BA26B3" w:rsidP="000A04BA">
      <w:pPr>
        <w:jc w:val="both"/>
        <w:rPr>
          <w:i/>
          <w:lang w:val="en-US"/>
        </w:rPr>
      </w:pPr>
      <w:r>
        <w:rPr>
          <w:noProof/>
        </w:rPr>
        <w:drawing>
          <wp:anchor distT="0" distB="0" distL="114300" distR="114300" simplePos="0" relativeHeight="251659264" behindDoc="0" locked="0" layoutInCell="1" allowOverlap="1" wp14:anchorId="306368E1">
            <wp:simplePos x="0" y="0"/>
            <wp:positionH relativeFrom="margin">
              <wp:align>left</wp:align>
            </wp:positionH>
            <wp:positionV relativeFrom="paragraph">
              <wp:posOffset>95885</wp:posOffset>
            </wp:positionV>
            <wp:extent cx="1800225" cy="28575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285750"/>
                    </a:xfrm>
                    <a:prstGeom prst="rect">
                      <a:avLst/>
                    </a:prstGeom>
                  </pic:spPr>
                </pic:pic>
              </a:graphicData>
            </a:graphic>
          </wp:anchor>
        </w:drawing>
      </w:r>
      <w:r w:rsidRPr="00BA26B3">
        <w:rPr>
          <w:i/>
          <w:lang w:val="en-US"/>
        </w:rPr>
        <w:t>V(U</w:t>
      </w:r>
      <w:r w:rsidRPr="00BA26B3">
        <w:rPr>
          <w:i/>
          <w:vertAlign w:val="subscript"/>
          <w:lang w:val="en-US"/>
        </w:rPr>
        <w:t>i</w:t>
      </w:r>
      <w:r w:rsidRPr="00BA26B3">
        <w:rPr>
          <w:i/>
          <w:lang w:val="en-US"/>
        </w:rPr>
        <w:t>) = event i’s trading volume at the upward price crossing.</w:t>
      </w:r>
    </w:p>
    <w:p w:rsidR="00414CED" w:rsidRPr="00414CED" w:rsidRDefault="00414CED" w:rsidP="000A04BA">
      <w:pPr>
        <w:jc w:val="both"/>
        <w:rPr>
          <w:i/>
          <w:lang w:val="en-US"/>
        </w:rPr>
      </w:pPr>
      <w:r w:rsidRPr="00414CED">
        <w:rPr>
          <w:i/>
          <w:lang w:val="en-US"/>
        </w:rPr>
        <w:t>V(D</w:t>
      </w:r>
      <w:r w:rsidRPr="00414CED">
        <w:rPr>
          <w:i/>
          <w:vertAlign w:val="subscript"/>
          <w:lang w:val="en-US"/>
        </w:rPr>
        <w:t>i</w:t>
      </w:r>
      <w:r w:rsidRPr="00414CED">
        <w:rPr>
          <w:i/>
          <w:lang w:val="en-US"/>
        </w:rPr>
        <w:t>) = event i’s trading volume at the downward price crossing.</w:t>
      </w:r>
    </w:p>
    <w:p w:rsidR="00411BCB" w:rsidRPr="00411BCB" w:rsidRDefault="00411BCB" w:rsidP="000A04BA">
      <w:pPr>
        <w:pStyle w:val="Sansinterligne"/>
        <w:jc w:val="both"/>
        <w:rPr>
          <w:lang w:val="en-US"/>
        </w:rPr>
      </w:pPr>
    </w:p>
    <w:p w:rsidR="00C57A80" w:rsidRPr="00F7297F" w:rsidRDefault="00F7297F" w:rsidP="000A04BA">
      <w:pPr>
        <w:jc w:val="both"/>
        <w:rPr>
          <w:lang w:val="en-US"/>
        </w:rPr>
      </w:pPr>
      <w:r>
        <w:rPr>
          <w:noProof/>
        </w:rPr>
        <w:drawing>
          <wp:anchor distT="0" distB="0" distL="114300" distR="114300" simplePos="0" relativeHeight="251660288" behindDoc="0" locked="0" layoutInCell="1" allowOverlap="1" wp14:anchorId="49B4C3CA">
            <wp:simplePos x="0" y="0"/>
            <wp:positionH relativeFrom="column">
              <wp:posOffset>4443095</wp:posOffset>
            </wp:positionH>
            <wp:positionV relativeFrom="paragraph">
              <wp:posOffset>192405</wp:posOffset>
            </wp:positionV>
            <wp:extent cx="1076325" cy="225425"/>
            <wp:effectExtent l="0" t="0" r="9525"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6325" cy="225425"/>
                    </a:xfrm>
                    <a:prstGeom prst="rect">
                      <a:avLst/>
                    </a:prstGeom>
                  </pic:spPr>
                </pic:pic>
              </a:graphicData>
            </a:graphic>
            <wp14:sizeRelH relativeFrom="margin">
              <wp14:pctWidth>0</wp14:pctWidth>
            </wp14:sizeRelH>
            <wp14:sizeRelV relativeFrom="margin">
              <wp14:pctHeight>0</wp14:pctHeight>
            </wp14:sizeRelV>
          </wp:anchor>
        </w:drawing>
      </w:r>
      <w:r w:rsidRPr="00F7297F">
        <w:rPr>
          <w:lang w:val="en-US"/>
        </w:rPr>
        <w:t xml:space="preserve">If investors update the reference point on the event day, then the tendency of selling winners should drive the trading volume at upward crossings to be abnormally high, that </w:t>
      </w:r>
      <w:proofErr w:type="gramStart"/>
      <w:r w:rsidRPr="00F7297F">
        <w:rPr>
          <w:lang w:val="en-US"/>
        </w:rPr>
        <w:t>is</w:t>
      </w:r>
      <w:r>
        <w:rPr>
          <w:lang w:val="en-US"/>
        </w:rPr>
        <w:t xml:space="preserve"> :</w:t>
      </w:r>
      <w:proofErr w:type="gramEnd"/>
      <w:r>
        <w:rPr>
          <w:lang w:val="en-US"/>
        </w:rPr>
        <w:t xml:space="preserve"> </w:t>
      </w:r>
    </w:p>
    <w:p w:rsidR="00C57A80" w:rsidRDefault="00270DFB" w:rsidP="000A04BA">
      <w:pPr>
        <w:jc w:val="both"/>
        <w:rPr>
          <w:lang w:val="en-US"/>
        </w:rPr>
      </w:pPr>
      <w:r>
        <w:rPr>
          <w:noProof/>
        </w:rPr>
        <w:drawing>
          <wp:anchor distT="0" distB="0" distL="114300" distR="114300" simplePos="0" relativeHeight="251661312" behindDoc="0" locked="0" layoutInCell="1" allowOverlap="1" wp14:anchorId="7E077321">
            <wp:simplePos x="0" y="0"/>
            <wp:positionH relativeFrom="column">
              <wp:posOffset>3719830</wp:posOffset>
            </wp:positionH>
            <wp:positionV relativeFrom="paragraph">
              <wp:posOffset>103505</wp:posOffset>
            </wp:positionV>
            <wp:extent cx="1304925" cy="52324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523240"/>
                    </a:xfrm>
                    <a:prstGeom prst="rect">
                      <a:avLst/>
                    </a:prstGeom>
                  </pic:spPr>
                </pic:pic>
              </a:graphicData>
            </a:graphic>
            <wp14:sizeRelH relativeFrom="margin">
              <wp14:pctWidth>0</wp14:pctWidth>
            </wp14:sizeRelH>
            <wp14:sizeRelV relativeFrom="margin">
              <wp14:pctHeight>0</wp14:pctHeight>
            </wp14:sizeRelV>
          </wp:anchor>
        </w:drawing>
      </w:r>
      <w:r w:rsidR="00132233" w:rsidRPr="00132233">
        <w:rPr>
          <w:lang w:val="en-US"/>
        </w:rPr>
        <w:t xml:space="preserve">We test </w:t>
      </w:r>
      <w:r w:rsidR="00132233">
        <w:rPr>
          <w:lang w:val="en-US"/>
        </w:rPr>
        <w:t>it</w:t>
      </w:r>
      <w:r w:rsidR="00132233" w:rsidRPr="00132233">
        <w:rPr>
          <w:lang w:val="en-US"/>
        </w:rPr>
        <w:t xml:space="preserve"> using the parametric and non-parametric </w:t>
      </w:r>
      <w:proofErr w:type="gramStart"/>
      <w:r w:rsidR="00132233" w:rsidRPr="00132233">
        <w:rPr>
          <w:lang w:val="en-US"/>
        </w:rPr>
        <w:t>tests</w:t>
      </w:r>
      <w:r w:rsidR="00D04293">
        <w:rPr>
          <w:lang w:val="en-US"/>
        </w:rPr>
        <w:t xml:space="preserve"> :</w:t>
      </w:r>
      <w:proofErr w:type="gramEnd"/>
    </w:p>
    <w:p w:rsidR="00D04293" w:rsidRDefault="00270DFB" w:rsidP="000A04BA">
      <w:pPr>
        <w:pStyle w:val="Paragraphedeliste"/>
        <w:numPr>
          <w:ilvl w:val="0"/>
          <w:numId w:val="1"/>
        </w:numPr>
        <w:jc w:val="both"/>
        <w:rPr>
          <w:lang w:val="en-US"/>
        </w:rPr>
      </w:pPr>
      <w:r w:rsidRPr="00270DFB">
        <w:rPr>
          <w:lang w:val="en-US"/>
        </w:rPr>
        <w:t xml:space="preserve">volume ratio test statistic </w:t>
      </w:r>
      <w:r w:rsidRPr="00872161">
        <w:rPr>
          <w:i/>
          <w:lang w:val="en-US"/>
        </w:rPr>
        <w:t>(for the parametric analysis</w:t>
      </w:r>
      <w:proofErr w:type="gramStart"/>
      <w:r w:rsidRPr="00872161">
        <w:rPr>
          <w:i/>
          <w:lang w:val="en-US"/>
        </w:rPr>
        <w:t>)</w:t>
      </w:r>
      <w:r>
        <w:rPr>
          <w:lang w:val="en-US"/>
        </w:rPr>
        <w:t xml:space="preserve"> :</w:t>
      </w:r>
      <w:proofErr w:type="gramEnd"/>
    </w:p>
    <w:p w:rsidR="00BD149D" w:rsidRDefault="00BD149D" w:rsidP="000A04BA">
      <w:pPr>
        <w:jc w:val="both"/>
        <w:rPr>
          <w:lang w:val="en-US"/>
        </w:rPr>
      </w:pPr>
    </w:p>
    <w:p w:rsidR="00964C7D" w:rsidRPr="00964C7D" w:rsidRDefault="00BD149D" w:rsidP="000A04BA">
      <w:pPr>
        <w:jc w:val="both"/>
        <w:rPr>
          <w:lang w:val="en-US"/>
        </w:rPr>
      </w:pPr>
      <w:r w:rsidRPr="00BD149D">
        <w:rPr>
          <w:lang w:val="en-US"/>
        </w:rPr>
        <w:t xml:space="preserve">According to our </w:t>
      </w:r>
      <w:r>
        <w:rPr>
          <w:lang w:val="en-US"/>
        </w:rPr>
        <w:t>hypothesis</w:t>
      </w:r>
      <w:r w:rsidRPr="00BD149D">
        <w:rPr>
          <w:lang w:val="en-US"/>
        </w:rPr>
        <w:t xml:space="preserve">, we expect </w:t>
      </w:r>
      <m:oMath>
        <m:r>
          <w:rPr>
            <w:rFonts w:ascii="Cambria Math" w:hAnsi="Cambria Math"/>
            <w:lang w:val="en-US"/>
          </w:rPr>
          <m:t>μ</m:t>
        </m:r>
      </m:oMath>
      <w:r w:rsidR="00757D9E" w:rsidRPr="00E67244">
        <w:rPr>
          <w:lang w:val="en-US"/>
        </w:rPr>
        <w:t xml:space="preserve">(VRi) </w:t>
      </w:r>
      <w:r w:rsidRPr="00BD149D">
        <w:rPr>
          <w:lang w:val="en-US"/>
        </w:rPr>
        <w:t xml:space="preserve">to be significantly </w:t>
      </w:r>
      <w:r>
        <w:rPr>
          <w:lang w:val="en-US"/>
        </w:rPr>
        <w:t>&gt;</w:t>
      </w:r>
      <w:r w:rsidRPr="00BD149D">
        <w:rPr>
          <w:lang w:val="en-US"/>
        </w:rPr>
        <w:t xml:space="preserve"> </w:t>
      </w:r>
      <w:r>
        <w:rPr>
          <w:lang w:val="en-US"/>
        </w:rPr>
        <w:t>0</w:t>
      </w:r>
      <w:r w:rsidRPr="00BD149D">
        <w:rPr>
          <w:lang w:val="en-US"/>
        </w:rPr>
        <w:t xml:space="preserve"> within the US and DS earnings surprise categorie</w:t>
      </w:r>
      <w:r w:rsidR="00875DB7">
        <w:rPr>
          <w:lang w:val="en-US"/>
        </w:rPr>
        <w:t>s</w:t>
      </w:r>
      <w:r w:rsidRPr="00BD149D">
        <w:rPr>
          <w:lang w:val="en-US"/>
        </w:rPr>
        <w:t>, as well as within the PR and NR categories</w:t>
      </w:r>
      <w:r w:rsidR="00A22D24">
        <w:rPr>
          <w:lang w:val="en-US"/>
        </w:rPr>
        <w:t>.</w:t>
      </w:r>
    </w:p>
    <w:p w:rsidR="00270DFB" w:rsidRDefault="00270DFB" w:rsidP="000A04BA">
      <w:pPr>
        <w:pStyle w:val="Paragraphedeliste"/>
        <w:jc w:val="both"/>
        <w:rPr>
          <w:lang w:val="en-US"/>
        </w:rPr>
      </w:pPr>
      <w:r>
        <w:rPr>
          <w:noProof/>
        </w:rPr>
        <w:drawing>
          <wp:anchor distT="0" distB="0" distL="114300" distR="114300" simplePos="0" relativeHeight="251662336" behindDoc="0" locked="0" layoutInCell="1" allowOverlap="1" wp14:anchorId="195694BC">
            <wp:simplePos x="0" y="0"/>
            <wp:positionH relativeFrom="margin">
              <wp:posOffset>3970020</wp:posOffset>
            </wp:positionH>
            <wp:positionV relativeFrom="paragraph">
              <wp:posOffset>167640</wp:posOffset>
            </wp:positionV>
            <wp:extent cx="1676400" cy="26733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76400" cy="267335"/>
                    </a:xfrm>
                    <a:prstGeom prst="rect">
                      <a:avLst/>
                    </a:prstGeom>
                  </pic:spPr>
                </pic:pic>
              </a:graphicData>
            </a:graphic>
            <wp14:sizeRelH relativeFrom="margin">
              <wp14:pctWidth>0</wp14:pctWidth>
            </wp14:sizeRelH>
            <wp14:sizeRelV relativeFrom="margin">
              <wp14:pctHeight>0</wp14:pctHeight>
            </wp14:sizeRelV>
          </wp:anchor>
        </w:drawing>
      </w:r>
    </w:p>
    <w:p w:rsidR="00270DFB" w:rsidRPr="00270DFB" w:rsidRDefault="00270DFB" w:rsidP="000A04BA">
      <w:pPr>
        <w:pStyle w:val="Paragraphedeliste"/>
        <w:numPr>
          <w:ilvl w:val="0"/>
          <w:numId w:val="1"/>
        </w:numPr>
        <w:jc w:val="both"/>
        <w:rPr>
          <w:lang w:val="en-US"/>
        </w:rPr>
      </w:pPr>
      <w:r w:rsidRPr="00270DFB">
        <w:rPr>
          <w:lang w:val="en-US"/>
        </w:rPr>
        <w:t xml:space="preserve">volume indicator statistic </w:t>
      </w:r>
      <w:r w:rsidRPr="00872161">
        <w:rPr>
          <w:i/>
          <w:lang w:val="en-US"/>
        </w:rPr>
        <w:t>(for the non-parametric analysis</w:t>
      </w:r>
      <w:proofErr w:type="gramStart"/>
      <w:r w:rsidRPr="00872161">
        <w:rPr>
          <w:i/>
          <w:lang w:val="en-US"/>
        </w:rPr>
        <w:t>)</w:t>
      </w:r>
      <w:r>
        <w:rPr>
          <w:lang w:val="en-US"/>
        </w:rPr>
        <w:t xml:space="preserve"> </w:t>
      </w:r>
      <w:r w:rsidRPr="00270DFB">
        <w:rPr>
          <w:lang w:val="en-US"/>
        </w:rPr>
        <w:t>:</w:t>
      </w:r>
      <w:proofErr w:type="gramEnd"/>
      <w:r>
        <w:rPr>
          <w:lang w:val="en-US"/>
        </w:rPr>
        <w:t xml:space="preserve"> </w:t>
      </w:r>
    </w:p>
    <w:p w:rsidR="00D37172" w:rsidRPr="004250B3" w:rsidRDefault="004250B3" w:rsidP="000A04BA">
      <w:pPr>
        <w:jc w:val="both"/>
        <w:rPr>
          <w:lang w:val="en-US"/>
        </w:rPr>
      </w:pPr>
      <w:r w:rsidRPr="004250B3">
        <w:rPr>
          <w:lang w:val="en-US"/>
        </w:rPr>
        <w:t xml:space="preserve">We conjecture that the proportion of </w:t>
      </w:r>
      <w:proofErr w:type="spellStart"/>
      <w:r w:rsidRPr="004250B3">
        <w:rPr>
          <w:lang w:val="en-US"/>
        </w:rPr>
        <w:t>VI</w:t>
      </w:r>
      <w:r w:rsidRPr="004250B3">
        <w:rPr>
          <w:vertAlign w:val="subscript"/>
          <w:lang w:val="en-US"/>
        </w:rPr>
        <w:t>i</w:t>
      </w:r>
      <w:proofErr w:type="spellEnd"/>
      <w:r w:rsidRPr="004250B3">
        <w:rPr>
          <w:lang w:val="en-US"/>
        </w:rPr>
        <w:t xml:space="preserve"> equaling 1 would be </w:t>
      </w:r>
      <w:r>
        <w:rPr>
          <w:lang w:val="en-US"/>
        </w:rPr>
        <w:t>&gt;</w:t>
      </w:r>
      <w:r w:rsidRPr="004250B3">
        <w:rPr>
          <w:lang w:val="en-US"/>
        </w:rPr>
        <w:t xml:space="preserve"> half </w:t>
      </w:r>
      <w:r w:rsidR="00841AFA">
        <w:rPr>
          <w:lang w:val="en-US"/>
        </w:rPr>
        <w:t xml:space="preserve">of the volume indicator </w:t>
      </w:r>
      <w:r w:rsidRPr="004250B3">
        <w:rPr>
          <w:lang w:val="en-US"/>
        </w:rPr>
        <w:t>within the US and DS categories, as well as within the PR and NR, but not within the</w:t>
      </w:r>
      <w:r>
        <w:rPr>
          <w:lang w:val="en-US"/>
        </w:rPr>
        <w:t xml:space="preserve"> </w:t>
      </w:r>
      <w:r w:rsidRPr="004250B3">
        <w:rPr>
          <w:lang w:val="en-US"/>
        </w:rPr>
        <w:t>ME and IR categories.</w:t>
      </w:r>
    </w:p>
    <w:p w:rsidR="00D37172" w:rsidRDefault="004E0FA5" w:rsidP="000A04BA">
      <w:pPr>
        <w:jc w:val="both"/>
        <w:rPr>
          <w:lang w:val="en-US"/>
        </w:rPr>
      </w:pPr>
      <w:proofErr w:type="gramStart"/>
      <w:r>
        <w:rPr>
          <w:lang w:val="en-US"/>
        </w:rPr>
        <w:t>Hypothesis :</w:t>
      </w:r>
      <w:proofErr w:type="gramEnd"/>
      <w:r>
        <w:rPr>
          <w:lang w:val="en-US"/>
        </w:rPr>
        <w:t xml:space="preserve"> </w:t>
      </w:r>
      <w:r w:rsidRPr="004E0FA5">
        <w:rPr>
          <w:lang w:val="en-US"/>
        </w:rPr>
        <w:t>surprising events drive the investors to update the reference levels.</w:t>
      </w:r>
    </w:p>
    <w:p w:rsidR="00425F26" w:rsidRDefault="00425F26" w:rsidP="000A04BA">
      <w:pPr>
        <w:pStyle w:val="Paragraphedeliste"/>
        <w:numPr>
          <w:ilvl w:val="0"/>
          <w:numId w:val="2"/>
        </w:numPr>
        <w:jc w:val="both"/>
        <w:rPr>
          <w:lang w:val="en-US"/>
        </w:rPr>
      </w:pPr>
      <w:r w:rsidRPr="00425F26">
        <w:rPr>
          <w:lang w:val="en-US"/>
        </w:rPr>
        <w:t xml:space="preserve">we expect to find significant evidence for the disposition effect </w:t>
      </w:r>
      <w:proofErr w:type="gramStart"/>
      <w:r w:rsidRPr="00425F26">
        <w:rPr>
          <w:lang w:val="en-US"/>
        </w:rPr>
        <w:t xml:space="preserve">when </w:t>
      </w:r>
      <w:r>
        <w:rPr>
          <w:lang w:val="en-US"/>
        </w:rPr>
        <w:t>:</w:t>
      </w:r>
      <w:proofErr w:type="gramEnd"/>
    </w:p>
    <w:p w:rsidR="00425F26" w:rsidRDefault="00425F26" w:rsidP="000A04BA">
      <w:pPr>
        <w:pStyle w:val="Paragraphedeliste"/>
        <w:numPr>
          <w:ilvl w:val="0"/>
          <w:numId w:val="1"/>
        </w:numPr>
        <w:jc w:val="both"/>
        <w:rPr>
          <w:lang w:val="en-US"/>
        </w:rPr>
      </w:pPr>
      <w:r w:rsidRPr="00425F26">
        <w:rPr>
          <w:lang w:val="en-US"/>
        </w:rPr>
        <w:t xml:space="preserve">EPS values are in discrepancy with analysts’ forecasts (within </w:t>
      </w:r>
      <w:r w:rsidR="00BD149D">
        <w:rPr>
          <w:lang w:val="en-US"/>
        </w:rPr>
        <w:t xml:space="preserve">US and </w:t>
      </w:r>
      <w:r w:rsidRPr="00425F26">
        <w:rPr>
          <w:lang w:val="en-US"/>
        </w:rPr>
        <w:t>DS categories of the earnings surprise news proxy, but not within the ME category</w:t>
      </w:r>
      <w:r>
        <w:rPr>
          <w:lang w:val="en-US"/>
        </w:rPr>
        <w:t>).</w:t>
      </w:r>
    </w:p>
    <w:p w:rsidR="00425F26" w:rsidRPr="00425F26" w:rsidRDefault="00425F26" w:rsidP="000A04BA">
      <w:pPr>
        <w:pStyle w:val="Paragraphedeliste"/>
        <w:numPr>
          <w:ilvl w:val="0"/>
          <w:numId w:val="1"/>
        </w:numPr>
        <w:jc w:val="both"/>
        <w:rPr>
          <w:lang w:val="en-US"/>
        </w:rPr>
      </w:pPr>
      <w:r w:rsidRPr="00425F26">
        <w:rPr>
          <w:lang w:val="en-US"/>
        </w:rPr>
        <w:t>the market reacted to the earnings announcements</w:t>
      </w:r>
      <w:r>
        <w:rPr>
          <w:lang w:val="en-US"/>
        </w:rPr>
        <w:t xml:space="preserve"> (</w:t>
      </w:r>
      <w:r w:rsidRPr="00425F26">
        <w:rPr>
          <w:lang w:val="en-US"/>
        </w:rPr>
        <w:t>within the PR and NR categories of the market reaction news proxy, but not within the IR category</w:t>
      </w:r>
      <w:r>
        <w:rPr>
          <w:lang w:val="en-US"/>
        </w:rPr>
        <w:t>)</w:t>
      </w:r>
      <w:r w:rsidRPr="00425F26">
        <w:rPr>
          <w:lang w:val="en-US"/>
        </w:rPr>
        <w:t>.</w:t>
      </w:r>
    </w:p>
    <w:p w:rsidR="00B034F4" w:rsidRDefault="00B034F4" w:rsidP="007F66ED">
      <w:pPr>
        <w:rPr>
          <w:lang w:val="en-US"/>
        </w:rPr>
      </w:pPr>
    </w:p>
    <w:p w:rsidR="00410127" w:rsidRDefault="00410127" w:rsidP="000A04BA">
      <w:pPr>
        <w:pStyle w:val="Paragraphedeliste"/>
        <w:numPr>
          <w:ilvl w:val="0"/>
          <w:numId w:val="9"/>
        </w:numPr>
        <w:jc w:val="both"/>
        <w:rPr>
          <w:b/>
          <w:color w:val="FF0000"/>
          <w:lang w:val="en-US"/>
        </w:rPr>
      </w:pPr>
      <w:r w:rsidRPr="000A04BA">
        <w:rPr>
          <w:b/>
          <w:color w:val="FF0000"/>
          <w:lang w:val="en-US"/>
        </w:rPr>
        <w:t>RESULTS</w:t>
      </w:r>
    </w:p>
    <w:p w:rsidR="000A04BA" w:rsidRPr="000A04BA" w:rsidRDefault="000A04BA" w:rsidP="000A04BA">
      <w:pPr>
        <w:pStyle w:val="Paragraphedeliste"/>
        <w:ind w:left="360"/>
        <w:jc w:val="both"/>
        <w:rPr>
          <w:b/>
          <w:color w:val="FF0000"/>
          <w:lang w:val="en-US"/>
        </w:rPr>
      </w:pPr>
    </w:p>
    <w:p w:rsidR="00107EEA" w:rsidRPr="000A04BA" w:rsidRDefault="0045325B" w:rsidP="00B034F4">
      <w:pPr>
        <w:pStyle w:val="Paragraphedeliste"/>
        <w:numPr>
          <w:ilvl w:val="0"/>
          <w:numId w:val="3"/>
        </w:numPr>
        <w:jc w:val="both"/>
        <w:rPr>
          <w:color w:val="4472C4" w:themeColor="accent1"/>
          <w:lang w:val="en-US"/>
        </w:rPr>
      </w:pPr>
      <w:r w:rsidRPr="000A04BA">
        <w:rPr>
          <w:color w:val="4472C4" w:themeColor="accent1"/>
          <w:lang w:val="en-US"/>
        </w:rPr>
        <w:t xml:space="preserve">Tests based on the surprise relatively to analysts’ </w:t>
      </w:r>
      <w:proofErr w:type="gramStart"/>
      <w:r w:rsidRPr="000A04BA">
        <w:rPr>
          <w:color w:val="4472C4" w:themeColor="accent1"/>
          <w:lang w:val="en-US"/>
        </w:rPr>
        <w:t>opinion :</w:t>
      </w:r>
      <w:proofErr w:type="gramEnd"/>
    </w:p>
    <w:p w:rsidR="00757D9E" w:rsidRDefault="00E67244" w:rsidP="000A04BA">
      <w:pPr>
        <w:jc w:val="both"/>
        <w:rPr>
          <w:lang w:val="en-US"/>
        </w:rPr>
      </w:pPr>
      <w:r w:rsidRPr="00E67244">
        <w:rPr>
          <w:lang w:val="en-US"/>
        </w:rPr>
        <w:t xml:space="preserve">The results of parametric and non-parametric tests are consistent with our hypotheses. </w:t>
      </w:r>
    </w:p>
    <w:p w:rsidR="00757D9E" w:rsidRPr="000A04BA" w:rsidRDefault="00757D9E" w:rsidP="000A04BA">
      <w:pPr>
        <w:pStyle w:val="Paragraphedeliste"/>
        <w:numPr>
          <w:ilvl w:val="0"/>
          <w:numId w:val="1"/>
        </w:numPr>
        <w:jc w:val="both"/>
        <w:rPr>
          <w:lang w:val="en-US"/>
        </w:rPr>
      </w:pPr>
      <w:r w:rsidRPr="000A04BA">
        <w:rPr>
          <w:lang w:val="en-US"/>
        </w:rPr>
        <w:t>P</w:t>
      </w:r>
      <w:r w:rsidR="00E67244" w:rsidRPr="000A04BA">
        <w:rPr>
          <w:lang w:val="en-US"/>
        </w:rPr>
        <w:t xml:space="preserve">arametric test provides significantly </w:t>
      </w:r>
      <m:oMath>
        <m:r>
          <w:rPr>
            <w:rFonts w:ascii="Cambria Math" w:hAnsi="Cambria Math"/>
            <w:lang w:val="en-US"/>
          </w:rPr>
          <m:t>μ</m:t>
        </m:r>
      </m:oMath>
      <w:r w:rsidR="00E67244" w:rsidRPr="000A04BA">
        <w:rPr>
          <w:lang w:val="en-US"/>
        </w:rPr>
        <w:t xml:space="preserve">(VRi) </w:t>
      </w:r>
      <m:oMath>
        <m:r>
          <w:rPr>
            <w:rFonts w:ascii="Cambria Math" w:hAnsi="Cambria Math"/>
            <w:lang w:val="en-US"/>
          </w:rPr>
          <m:t xml:space="preserve">≠0 </m:t>
        </m:r>
      </m:oMath>
      <w:r w:rsidR="00E67244" w:rsidRPr="000A04BA">
        <w:rPr>
          <w:lang w:val="en-US"/>
        </w:rPr>
        <w:t xml:space="preserve"> within the US and DS categories</w:t>
      </w:r>
      <w:r w:rsidRPr="000A04BA">
        <w:rPr>
          <w:lang w:val="en-US"/>
        </w:rPr>
        <w:t>.</w:t>
      </w:r>
      <w:r w:rsidR="00E67244" w:rsidRPr="000A04BA">
        <w:rPr>
          <w:lang w:val="en-US"/>
        </w:rPr>
        <w:t xml:space="preserve"> </w:t>
      </w:r>
    </w:p>
    <w:p w:rsidR="00757D9E" w:rsidRPr="000A04BA" w:rsidRDefault="00757D9E" w:rsidP="000A04BA">
      <w:pPr>
        <w:pStyle w:val="Paragraphedeliste"/>
        <w:numPr>
          <w:ilvl w:val="0"/>
          <w:numId w:val="1"/>
        </w:numPr>
        <w:jc w:val="both"/>
        <w:rPr>
          <w:lang w:val="en-US"/>
        </w:rPr>
      </w:pPr>
      <w:r w:rsidRPr="000A04BA">
        <w:rPr>
          <w:lang w:val="en-US"/>
        </w:rPr>
        <w:t>N</w:t>
      </w:r>
      <w:r w:rsidR="00E67244" w:rsidRPr="000A04BA">
        <w:rPr>
          <w:lang w:val="en-US"/>
        </w:rPr>
        <w:t>on</w:t>
      </w:r>
      <w:r w:rsidRPr="000A04BA">
        <w:rPr>
          <w:lang w:val="en-US"/>
        </w:rPr>
        <w:t xml:space="preserve">- </w:t>
      </w:r>
      <w:r w:rsidR="00E67244" w:rsidRPr="000A04BA">
        <w:rPr>
          <w:lang w:val="en-US"/>
        </w:rPr>
        <w:t xml:space="preserve">parametric test yields significantly more than half </w:t>
      </w:r>
      <w:proofErr w:type="spellStart"/>
      <w:r w:rsidR="00E67244" w:rsidRPr="000A04BA">
        <w:rPr>
          <w:lang w:val="en-US"/>
        </w:rPr>
        <w:t>VI</w:t>
      </w:r>
      <w:r w:rsidR="00E67244" w:rsidRPr="000A04BA">
        <w:rPr>
          <w:vertAlign w:val="subscript"/>
          <w:lang w:val="en-US"/>
        </w:rPr>
        <w:t>i</w:t>
      </w:r>
      <w:proofErr w:type="spellEnd"/>
      <w:r w:rsidR="00E67244" w:rsidRPr="000A04BA">
        <w:rPr>
          <w:lang w:val="en-US"/>
        </w:rPr>
        <w:t xml:space="preserve"> values</w:t>
      </w:r>
      <w:r w:rsidRPr="000A04BA">
        <w:rPr>
          <w:lang w:val="en-US"/>
        </w:rPr>
        <w:t xml:space="preserve"> </w:t>
      </w:r>
      <w:r w:rsidR="00E67244" w:rsidRPr="000A04BA">
        <w:rPr>
          <w:lang w:val="en-US"/>
        </w:rPr>
        <w:t xml:space="preserve">equaling unity within the US and DS categories. </w:t>
      </w:r>
    </w:p>
    <w:p w:rsidR="00757D9E" w:rsidRDefault="00E67244" w:rsidP="000A04BA">
      <w:pPr>
        <w:jc w:val="both"/>
        <w:rPr>
          <w:lang w:val="en-US"/>
        </w:rPr>
      </w:pPr>
      <w:r w:rsidRPr="00E67244">
        <w:rPr>
          <w:lang w:val="en-US"/>
        </w:rPr>
        <w:t>The evidence for the disposition effect tested over the whole sample is strongly significant by both tests</w:t>
      </w:r>
      <w:r w:rsidR="00757D9E">
        <w:rPr>
          <w:lang w:val="en-US"/>
        </w:rPr>
        <w:t>.</w:t>
      </w:r>
    </w:p>
    <w:p w:rsidR="0045325B" w:rsidRDefault="00757D9E" w:rsidP="000A04BA">
      <w:pPr>
        <w:jc w:val="both"/>
        <w:rPr>
          <w:lang w:val="en-US"/>
        </w:rPr>
      </w:pPr>
      <w:r>
        <w:rPr>
          <w:noProof/>
        </w:rPr>
        <w:drawing>
          <wp:anchor distT="0" distB="0" distL="114300" distR="114300" simplePos="0" relativeHeight="251664384" behindDoc="0" locked="0" layoutInCell="1" allowOverlap="1" wp14:anchorId="4D71AC66" wp14:editId="1CEF9DC6">
            <wp:simplePos x="0" y="0"/>
            <wp:positionH relativeFrom="margin">
              <wp:posOffset>2318385</wp:posOffset>
            </wp:positionH>
            <wp:positionV relativeFrom="paragraph">
              <wp:posOffset>9525</wp:posOffset>
            </wp:positionV>
            <wp:extent cx="1076325" cy="225425"/>
            <wp:effectExtent l="0" t="0" r="9525"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6325" cy="225425"/>
                    </a:xfrm>
                    <a:prstGeom prst="rect">
                      <a:avLst/>
                    </a:prstGeom>
                  </pic:spPr>
                </pic:pic>
              </a:graphicData>
            </a:graphic>
            <wp14:sizeRelH relativeFrom="margin">
              <wp14:pctWidth>0</wp14:pctWidth>
            </wp14:sizeRelH>
            <wp14:sizeRelV relativeFrom="margin">
              <wp14:pctHeight>0</wp14:pctHeight>
            </wp14:sizeRelV>
          </wp:anchor>
        </w:drawing>
      </w:r>
      <w:r>
        <w:rPr>
          <w:lang w:val="en-US"/>
        </w:rPr>
        <w:t>T</w:t>
      </w:r>
      <w:r w:rsidR="00E67244" w:rsidRPr="00E67244">
        <w:rPr>
          <w:lang w:val="en-US"/>
        </w:rPr>
        <w:t xml:space="preserve">he proportion of the events for which holds is significantly </w:t>
      </w:r>
      <w:r>
        <w:rPr>
          <w:lang w:val="en-US"/>
        </w:rPr>
        <w:t>&gt;</w:t>
      </w:r>
      <w:r w:rsidR="00E67244" w:rsidRPr="00E67244">
        <w:rPr>
          <w:lang w:val="en-US"/>
        </w:rPr>
        <w:t xml:space="preserve"> 0</w:t>
      </w:r>
      <w:r>
        <w:rPr>
          <w:lang w:val="en-US"/>
        </w:rPr>
        <w:t>,</w:t>
      </w:r>
      <w:r w:rsidR="00E67244" w:rsidRPr="00E67244">
        <w:rPr>
          <w:lang w:val="en-US"/>
        </w:rPr>
        <w:t>5.</w:t>
      </w:r>
    </w:p>
    <w:p w:rsidR="000A04BA" w:rsidRDefault="000A04BA" w:rsidP="00B034F4">
      <w:pPr>
        <w:jc w:val="both"/>
        <w:rPr>
          <w:lang w:val="en-US"/>
        </w:rPr>
      </w:pPr>
    </w:p>
    <w:p w:rsidR="000A04BA" w:rsidRPr="00E67244" w:rsidRDefault="000A04BA" w:rsidP="00B034F4">
      <w:pPr>
        <w:jc w:val="both"/>
        <w:rPr>
          <w:lang w:val="en-US"/>
        </w:rPr>
      </w:pPr>
    </w:p>
    <w:p w:rsidR="0045325B" w:rsidRPr="000A04BA" w:rsidRDefault="0045325B" w:rsidP="00B034F4">
      <w:pPr>
        <w:pStyle w:val="Paragraphedeliste"/>
        <w:numPr>
          <w:ilvl w:val="0"/>
          <w:numId w:val="3"/>
        </w:numPr>
        <w:jc w:val="both"/>
        <w:rPr>
          <w:color w:val="4472C4" w:themeColor="accent1"/>
          <w:lang w:val="en-US"/>
        </w:rPr>
      </w:pPr>
      <w:r w:rsidRPr="000A04BA">
        <w:rPr>
          <w:color w:val="4472C4" w:themeColor="accent1"/>
          <w:lang w:val="en-US"/>
        </w:rPr>
        <w:lastRenderedPageBreak/>
        <w:t xml:space="preserve">Tests based on stock price </w:t>
      </w:r>
      <w:proofErr w:type="gramStart"/>
      <w:r w:rsidRPr="000A04BA">
        <w:rPr>
          <w:color w:val="4472C4" w:themeColor="accent1"/>
          <w:lang w:val="en-US"/>
        </w:rPr>
        <w:t>reactions :</w:t>
      </w:r>
      <w:proofErr w:type="gramEnd"/>
    </w:p>
    <w:p w:rsidR="00107EEA" w:rsidRDefault="00602285" w:rsidP="00B034F4">
      <w:pPr>
        <w:jc w:val="both"/>
        <w:rPr>
          <w:lang w:val="en-US"/>
        </w:rPr>
      </w:pPr>
      <w:r>
        <w:rPr>
          <w:lang w:val="en-US"/>
        </w:rPr>
        <w:t xml:space="preserve">As </w:t>
      </w:r>
      <w:r w:rsidRPr="00602285">
        <w:rPr>
          <w:lang w:val="en-US"/>
        </w:rPr>
        <w:t>analysts’ opinion might not reflect correctly the market expectations</w:t>
      </w:r>
      <w:r>
        <w:rPr>
          <w:lang w:val="en-US"/>
        </w:rPr>
        <w:t xml:space="preserve">, </w:t>
      </w:r>
      <w:r w:rsidR="007206D6">
        <w:rPr>
          <w:lang w:val="en-US"/>
        </w:rPr>
        <w:t>w</w:t>
      </w:r>
      <w:r w:rsidRPr="00602285">
        <w:rPr>
          <w:lang w:val="en-US"/>
        </w:rPr>
        <w:t>e analyze the market proxy measured by initial abnormal stock returns</w:t>
      </w:r>
      <w:r w:rsidR="007206D6">
        <w:rPr>
          <w:lang w:val="en-US"/>
        </w:rPr>
        <w:t>.</w:t>
      </w:r>
    </w:p>
    <w:p w:rsidR="00654AF5" w:rsidRDefault="00654AF5" w:rsidP="00B034F4">
      <w:pPr>
        <w:jc w:val="both"/>
        <w:rPr>
          <w:lang w:val="en-US"/>
        </w:rPr>
      </w:pPr>
      <w:proofErr w:type="gramStart"/>
      <w:r>
        <w:rPr>
          <w:lang w:val="en-US"/>
        </w:rPr>
        <w:t>Hypothesis :</w:t>
      </w:r>
      <w:proofErr w:type="gramEnd"/>
      <w:r>
        <w:rPr>
          <w:lang w:val="en-US"/>
        </w:rPr>
        <w:t xml:space="preserve"> </w:t>
      </w:r>
      <w:r w:rsidRPr="00654AF5">
        <w:rPr>
          <w:lang w:val="en-US"/>
        </w:rPr>
        <w:t>only the</w:t>
      </w:r>
      <w:r>
        <w:rPr>
          <w:lang w:val="en-US"/>
        </w:rPr>
        <w:t xml:space="preserve"> </w:t>
      </w:r>
      <w:r w:rsidRPr="00654AF5">
        <w:rPr>
          <w:lang w:val="en-US"/>
        </w:rPr>
        <w:t>events that caused a relatively strong market reaction drive investors to update their reference levels.</w:t>
      </w:r>
      <w:r>
        <w:rPr>
          <w:lang w:val="en-US"/>
        </w:rPr>
        <w:t xml:space="preserve"> </w:t>
      </w:r>
    </w:p>
    <w:p w:rsidR="00654AF5" w:rsidRDefault="00654AF5" w:rsidP="00B034F4">
      <w:pPr>
        <w:pStyle w:val="Paragraphedeliste"/>
        <w:numPr>
          <w:ilvl w:val="0"/>
          <w:numId w:val="2"/>
        </w:numPr>
        <w:jc w:val="both"/>
        <w:rPr>
          <w:lang w:val="en-US"/>
        </w:rPr>
      </w:pPr>
      <w:r w:rsidRPr="00654AF5">
        <w:rPr>
          <w:lang w:val="en-US"/>
        </w:rPr>
        <w:t>we expect to find significant evidence for the disposition effect within PR and NR</w:t>
      </w:r>
      <w:r>
        <w:rPr>
          <w:lang w:val="en-US"/>
        </w:rPr>
        <w:t xml:space="preserve"> categories</w:t>
      </w:r>
      <w:r w:rsidRPr="00654AF5">
        <w:rPr>
          <w:lang w:val="en-US"/>
        </w:rPr>
        <w:t>, but not within the IR category.</w:t>
      </w:r>
    </w:p>
    <w:p w:rsidR="00F344B7" w:rsidRDefault="000A04BA" w:rsidP="00B034F4">
      <w:pPr>
        <w:jc w:val="both"/>
        <w:rPr>
          <w:lang w:val="en-US"/>
        </w:rPr>
      </w:pPr>
      <w:r>
        <w:rPr>
          <w:lang w:val="en-US"/>
        </w:rPr>
        <w:t>B</w:t>
      </w:r>
      <w:r w:rsidR="00F344B7" w:rsidRPr="00F344B7">
        <w:rPr>
          <w:lang w:val="en-US"/>
        </w:rPr>
        <w:t xml:space="preserve">oth tests significantly corroborate the disposition </w:t>
      </w:r>
      <w:proofErr w:type="gramStart"/>
      <w:r w:rsidR="00F344B7" w:rsidRPr="00F344B7">
        <w:rPr>
          <w:lang w:val="en-US"/>
        </w:rPr>
        <w:t>effect</w:t>
      </w:r>
      <w:r w:rsidR="00F344B7">
        <w:rPr>
          <w:lang w:val="en-US"/>
        </w:rPr>
        <w:t xml:space="preserve"> :</w:t>
      </w:r>
      <w:proofErr w:type="gramEnd"/>
      <w:r w:rsidR="00F344B7" w:rsidRPr="00F344B7">
        <w:rPr>
          <w:lang w:val="en-US"/>
        </w:rPr>
        <w:t xml:space="preserve"> results based on the market reaction are consistent with the</w:t>
      </w:r>
      <w:r w:rsidR="00F344B7">
        <w:rPr>
          <w:lang w:val="en-US"/>
        </w:rPr>
        <w:t xml:space="preserve"> </w:t>
      </w:r>
      <w:r w:rsidR="00F344B7" w:rsidRPr="00F344B7">
        <w:rPr>
          <w:lang w:val="en-US"/>
        </w:rPr>
        <w:t>intuition that only salient ‘‘surprising events” drive the investors to update their perceptions.</w:t>
      </w:r>
    </w:p>
    <w:p w:rsidR="00276346" w:rsidRDefault="00276346" w:rsidP="00B034F4">
      <w:pPr>
        <w:jc w:val="both"/>
        <w:rPr>
          <w:lang w:val="en-US"/>
        </w:rPr>
      </w:pPr>
    </w:p>
    <w:p w:rsidR="00276346" w:rsidRPr="000A04BA" w:rsidRDefault="00276346" w:rsidP="000A04BA">
      <w:pPr>
        <w:pStyle w:val="Paragraphedeliste"/>
        <w:numPr>
          <w:ilvl w:val="0"/>
          <w:numId w:val="10"/>
        </w:numPr>
        <w:jc w:val="both"/>
        <w:rPr>
          <w:b/>
          <w:color w:val="FF0000"/>
          <w:lang w:val="en-US"/>
        </w:rPr>
      </w:pPr>
      <w:r w:rsidRPr="000A04BA">
        <w:rPr>
          <w:b/>
          <w:color w:val="FF0000"/>
          <w:lang w:val="en-US"/>
        </w:rPr>
        <w:t>CONCLUSION</w:t>
      </w:r>
    </w:p>
    <w:p w:rsidR="00057ED6" w:rsidRDefault="00057ED6" w:rsidP="00B034F4">
      <w:pPr>
        <w:jc w:val="both"/>
        <w:rPr>
          <w:lang w:val="en-US"/>
        </w:rPr>
      </w:pPr>
      <w:r>
        <w:rPr>
          <w:lang w:val="en-US"/>
        </w:rPr>
        <w:t>T</w:t>
      </w:r>
      <w:r w:rsidR="00276346" w:rsidRPr="00276346">
        <w:rPr>
          <w:lang w:val="en-US"/>
        </w:rPr>
        <w:t>he main goal of our research is to test the hypothesis that company-specific events</w:t>
      </w:r>
      <w:r>
        <w:rPr>
          <w:lang w:val="en-US"/>
        </w:rPr>
        <w:t xml:space="preserve"> (</w:t>
      </w:r>
      <w:proofErr w:type="gramStart"/>
      <w:r>
        <w:rPr>
          <w:lang w:val="en-US"/>
        </w:rPr>
        <w:t>ex :</w:t>
      </w:r>
      <w:proofErr w:type="gramEnd"/>
      <w:r>
        <w:rPr>
          <w:lang w:val="en-US"/>
        </w:rPr>
        <w:t xml:space="preserve"> </w:t>
      </w:r>
      <w:r w:rsidRPr="00276346">
        <w:rPr>
          <w:lang w:val="en-US"/>
        </w:rPr>
        <w:t>earnings announcements</w:t>
      </w:r>
      <w:r>
        <w:rPr>
          <w:lang w:val="en-US"/>
        </w:rPr>
        <w:t>)</w:t>
      </w:r>
      <w:r w:rsidR="00276346" w:rsidRPr="00276346">
        <w:rPr>
          <w:lang w:val="en-US"/>
        </w:rPr>
        <w:t xml:space="preserve"> drive investors to update their reference level, consequently influencing their behavior. </w:t>
      </w:r>
    </w:p>
    <w:p w:rsidR="00276346" w:rsidRDefault="00057ED6" w:rsidP="00B034F4">
      <w:pPr>
        <w:jc w:val="both"/>
        <w:rPr>
          <w:lang w:val="en-US"/>
        </w:rPr>
      </w:pPr>
      <w:r>
        <w:rPr>
          <w:lang w:val="en-US"/>
        </w:rPr>
        <w:t xml:space="preserve">We </w:t>
      </w:r>
      <w:r w:rsidR="00276346" w:rsidRPr="00276346">
        <w:rPr>
          <w:lang w:val="en-US"/>
        </w:rPr>
        <w:t>tak</w:t>
      </w:r>
      <w:r>
        <w:rPr>
          <w:lang w:val="en-US"/>
        </w:rPr>
        <w:t>e</w:t>
      </w:r>
      <w:r w:rsidR="00276346" w:rsidRPr="00276346">
        <w:rPr>
          <w:lang w:val="en-US"/>
        </w:rPr>
        <w:t xml:space="preserve"> the stock price fixed at the day following the ‘‘event day” as a benchmark, that is, a potential reference point.</w:t>
      </w:r>
    </w:p>
    <w:p w:rsidR="00057ED6" w:rsidRDefault="00276346" w:rsidP="00B034F4">
      <w:pPr>
        <w:jc w:val="both"/>
        <w:rPr>
          <w:lang w:val="en-US"/>
        </w:rPr>
      </w:pPr>
      <w:r w:rsidRPr="00276346">
        <w:rPr>
          <w:lang w:val="en-US"/>
        </w:rPr>
        <w:t>Our major finding is that investors update the reference level assigned to stocks subsequently to news regarding their values.</w:t>
      </w:r>
      <w:r w:rsidRPr="00276346">
        <w:rPr>
          <w:lang w:val="en-US"/>
        </w:rPr>
        <w:t xml:space="preserve"> </w:t>
      </w:r>
    </w:p>
    <w:p w:rsidR="00276346" w:rsidRPr="00276346" w:rsidRDefault="00276346" w:rsidP="00B034F4">
      <w:pPr>
        <w:jc w:val="both"/>
        <w:rPr>
          <w:lang w:val="en-US"/>
        </w:rPr>
      </w:pPr>
      <w:bookmarkStart w:id="0" w:name="_GoBack"/>
      <w:bookmarkEnd w:id="0"/>
      <w:r w:rsidRPr="00276346">
        <w:rPr>
          <w:lang w:val="en-US"/>
        </w:rPr>
        <w:t xml:space="preserve">We </w:t>
      </w:r>
      <w:proofErr w:type="gramStart"/>
      <w:r w:rsidRPr="00276346">
        <w:rPr>
          <w:lang w:val="en-US"/>
        </w:rPr>
        <w:t>are able to</w:t>
      </w:r>
      <w:proofErr w:type="gramEnd"/>
      <w:r w:rsidRPr="00276346">
        <w:rPr>
          <w:lang w:val="en-US"/>
        </w:rPr>
        <w:t xml:space="preserve"> show that our findings are robust to the specification of the expectations proxy: both the ‘‘analysts’ proxy” and the ‘‘market proxy” provide</w:t>
      </w:r>
      <w:r>
        <w:rPr>
          <w:lang w:val="en-US"/>
        </w:rPr>
        <w:t>.</w:t>
      </w:r>
    </w:p>
    <w:sectPr w:rsidR="00276346" w:rsidRPr="00276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4EA"/>
    <w:multiLevelType w:val="hybridMultilevel"/>
    <w:tmpl w:val="411E70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200C43"/>
    <w:multiLevelType w:val="hybridMultilevel"/>
    <w:tmpl w:val="EA4620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153579"/>
    <w:multiLevelType w:val="hybridMultilevel"/>
    <w:tmpl w:val="51EEAA7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9">
      <w:start w:val="1"/>
      <w:numFmt w:val="bullet"/>
      <w:lvlText w:val=""/>
      <w:lvlJc w:val="left"/>
      <w:pPr>
        <w:ind w:left="2520" w:hanging="360"/>
      </w:pPr>
      <w:rPr>
        <w:rFonts w:ascii="Wingdings" w:hAnsi="Wingdings"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3E390D"/>
    <w:multiLevelType w:val="hybridMultilevel"/>
    <w:tmpl w:val="F22870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A46ECD"/>
    <w:multiLevelType w:val="hybridMultilevel"/>
    <w:tmpl w:val="C7F486C4"/>
    <w:lvl w:ilvl="0" w:tplc="AE0C9DE4">
      <w:start w:val="2"/>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D7E7A14"/>
    <w:multiLevelType w:val="hybridMultilevel"/>
    <w:tmpl w:val="46302C88"/>
    <w:lvl w:ilvl="0" w:tplc="040C0009">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9">
      <w:start w:val="1"/>
      <w:numFmt w:val="bullet"/>
      <w:lvlText w:val=""/>
      <w:lvlJc w:val="left"/>
      <w:pPr>
        <w:ind w:left="2520" w:hanging="360"/>
      </w:pPr>
      <w:rPr>
        <w:rFonts w:ascii="Wingdings" w:hAnsi="Wingdings"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374137B"/>
    <w:multiLevelType w:val="hybridMultilevel"/>
    <w:tmpl w:val="44F85ACE"/>
    <w:lvl w:ilvl="0" w:tplc="42D2E47E">
      <w:start w:val="2"/>
      <w:numFmt w:val="bullet"/>
      <w:lvlText w:val="-"/>
      <w:lvlJc w:val="left"/>
      <w:pPr>
        <w:ind w:left="720" w:hanging="360"/>
      </w:pPr>
      <w:rPr>
        <w:rFonts w:ascii="Calibri" w:eastAsiaTheme="minorHAnsi" w:hAnsi="Calibri" w:cs="Calibri" w:hint="default"/>
      </w:rPr>
    </w:lvl>
    <w:lvl w:ilvl="1" w:tplc="42D2E47E">
      <w:start w:val="2"/>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494CB6"/>
    <w:multiLevelType w:val="hybridMultilevel"/>
    <w:tmpl w:val="FCD2B8E2"/>
    <w:lvl w:ilvl="0" w:tplc="9A7858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9E0F5E"/>
    <w:multiLevelType w:val="hybridMultilevel"/>
    <w:tmpl w:val="AC30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DA1D56"/>
    <w:multiLevelType w:val="hybridMultilevel"/>
    <w:tmpl w:val="5C9677F6"/>
    <w:lvl w:ilvl="0" w:tplc="9A7858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9"/>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9C"/>
    <w:rsid w:val="000173C1"/>
    <w:rsid w:val="00057ED6"/>
    <w:rsid w:val="000A04BA"/>
    <w:rsid w:val="00107EEA"/>
    <w:rsid w:val="00132233"/>
    <w:rsid w:val="00270DFB"/>
    <w:rsid w:val="00276346"/>
    <w:rsid w:val="002C7126"/>
    <w:rsid w:val="002D6153"/>
    <w:rsid w:val="00333C30"/>
    <w:rsid w:val="00356C7A"/>
    <w:rsid w:val="003F3553"/>
    <w:rsid w:val="00410127"/>
    <w:rsid w:val="00411BCB"/>
    <w:rsid w:val="00414CED"/>
    <w:rsid w:val="00421E9C"/>
    <w:rsid w:val="004250B3"/>
    <w:rsid w:val="00425F26"/>
    <w:rsid w:val="0045325B"/>
    <w:rsid w:val="00482676"/>
    <w:rsid w:val="004D6F67"/>
    <w:rsid w:val="004E0FA5"/>
    <w:rsid w:val="005201C3"/>
    <w:rsid w:val="0058402E"/>
    <w:rsid w:val="00602285"/>
    <w:rsid w:val="006478D9"/>
    <w:rsid w:val="00654AF5"/>
    <w:rsid w:val="00693A26"/>
    <w:rsid w:val="007206D6"/>
    <w:rsid w:val="00757D9E"/>
    <w:rsid w:val="00774C55"/>
    <w:rsid w:val="00777EDA"/>
    <w:rsid w:val="00786A7B"/>
    <w:rsid w:val="007F66ED"/>
    <w:rsid w:val="00841AFA"/>
    <w:rsid w:val="00872161"/>
    <w:rsid w:val="00875DB7"/>
    <w:rsid w:val="008F0417"/>
    <w:rsid w:val="0096092C"/>
    <w:rsid w:val="00964C7D"/>
    <w:rsid w:val="009E39B3"/>
    <w:rsid w:val="00A22D24"/>
    <w:rsid w:val="00A91475"/>
    <w:rsid w:val="00A94501"/>
    <w:rsid w:val="00AC2092"/>
    <w:rsid w:val="00B034F4"/>
    <w:rsid w:val="00BA26B3"/>
    <w:rsid w:val="00BD149D"/>
    <w:rsid w:val="00C57A80"/>
    <w:rsid w:val="00C77A14"/>
    <w:rsid w:val="00CA3FE8"/>
    <w:rsid w:val="00CC40C9"/>
    <w:rsid w:val="00D04293"/>
    <w:rsid w:val="00D32101"/>
    <w:rsid w:val="00D37172"/>
    <w:rsid w:val="00D631AB"/>
    <w:rsid w:val="00D644FA"/>
    <w:rsid w:val="00DB4CBA"/>
    <w:rsid w:val="00E67244"/>
    <w:rsid w:val="00F344B7"/>
    <w:rsid w:val="00F53D03"/>
    <w:rsid w:val="00F712F6"/>
    <w:rsid w:val="00F7297F"/>
    <w:rsid w:val="00FF3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5723"/>
  <w15:chartTrackingRefBased/>
  <w15:docId w15:val="{036047BD-66C3-47EB-B5E4-06CFCC05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6F67"/>
    <w:pPr>
      <w:ind w:left="720"/>
      <w:contextualSpacing/>
    </w:pPr>
  </w:style>
  <w:style w:type="paragraph" w:styleId="Textedebulles">
    <w:name w:val="Balloon Text"/>
    <w:basedOn w:val="Normal"/>
    <w:link w:val="TextedebullesCar"/>
    <w:uiPriority w:val="99"/>
    <w:semiHidden/>
    <w:unhideWhenUsed/>
    <w:rsid w:val="00333C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3C30"/>
    <w:rPr>
      <w:rFonts w:ascii="Segoe UI" w:hAnsi="Segoe UI" w:cs="Segoe UI"/>
      <w:sz w:val="18"/>
      <w:szCs w:val="18"/>
    </w:rPr>
  </w:style>
  <w:style w:type="character" w:styleId="Textedelespacerserv">
    <w:name w:val="Placeholder Text"/>
    <w:basedOn w:val="Policepardfaut"/>
    <w:uiPriority w:val="99"/>
    <w:semiHidden/>
    <w:rsid w:val="00411BCB"/>
    <w:rPr>
      <w:color w:val="808080"/>
    </w:rPr>
  </w:style>
  <w:style w:type="paragraph" w:styleId="Sansinterligne">
    <w:name w:val="No Spacing"/>
    <w:uiPriority w:val="1"/>
    <w:qFormat/>
    <w:rsid w:val="00411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1199</Words>
  <Characters>6599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Auude ...</dc:creator>
  <cp:keywords/>
  <dc:description/>
  <cp:lastModifiedBy>Auude ...</cp:lastModifiedBy>
  <cp:revision>54</cp:revision>
  <dcterms:created xsi:type="dcterms:W3CDTF">2019-11-28T10:41:00Z</dcterms:created>
  <dcterms:modified xsi:type="dcterms:W3CDTF">2019-12-03T21:05:00Z</dcterms:modified>
</cp:coreProperties>
</file>