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1A2332"/>
          <w:sz w:val="36"/>
          <w:szCs w:val="36"/>
        </w:rPr>
        <w:t xml:space="preserve">ACS and the NVIDIA Open Agent Safety Platform</w:t>
      </w:r>
    </w:p>
    <w:p>
      <w:pPr>
        <w:spacing w:after="90"/>
      </w:pPr>
      <w:r>
        <w:rPr>
          <w:rFonts w:ascii="Georgia" w:cs="Georgia" w:eastAsia="Georgia" w:hAnsi="Georgia"/>
          <w:i/>
          <w:iCs/>
          <w:color w:val="0F4C5C"/>
          <w:sz w:val="24"/>
          <w:szCs w:val="24"/>
        </w:rPr>
        <w:t xml:space="preserve">Layering analysis and the OCSF bindings we can already prove</w:t>
      </w:r>
    </w:p>
    <w:p>
      <w:pPr>
        <w:pBdr>
          <w:bottom w:val="single" w:color="0F4C5C" w:sz="8" w:space="8"/>
        </w:pBdr>
        <w:spacing w:after="220"/>
      </w:pPr>
      <w:r>
        <w:rPr>
          <w:rFonts w:ascii="Calibri" w:cs="Calibri" w:eastAsia="Calibri" w:hAnsi="Calibri"/>
          <w:caps/>
          <w:color w:val="5A6875"/>
          <w:spacing w:val="24"/>
          <w:sz w:val="17"/>
          <w:szCs w:val="17"/>
        </w:rPr>
        <w:t xml:space="preserve">Agent Control Standard   ·   Spec and Trace Workstreams   ·   September 29, 2026</w:t>
      </w:r>
    </w:p>
    <w:p>
      <w:pPr>
        <w:spacing w:after="130" w:line="288"/>
      </w:pPr>
      <w:r>
        <w:rPr>
          <w:rFonts w:ascii="Calibri" w:cs="Calibri" w:eastAsia="Calibri" w:hAnsi="Calibri"/>
          <w:color w:val="1A2332"/>
          <w:sz w:val="20"/>
          <w:szCs w:val="20"/>
        </w:rPr>
        <w:t xml:space="preserve">NVIDIA did not build a competitor to ACS. OpenShell enforces policy in the kernel and Sentry pushes that enforcement onto a DPU. Neither one defines a portable verdict contract between an agent and an external policy authority, and NVIDIA’s own issue tracker says so. The two stacks already agree on the one thing that makes a binding possible, which is OCSF. ACS pins normative class UIDs and OpenShell emits OCSF v1.8.0 natively, so the mapping on page two rests on published field names.</w:t>
      </w:r>
    </w:p>
    <w:p>
      <w:pPr>
        <w:spacing w:after="130" w:line="288"/>
      </w:pPr>
      <w:r>
        <w:rPr>
          <w:rFonts w:ascii="Calibri" w:cs="Calibri" w:eastAsia="Calibri" w:hAnsi="Calibri"/>
          <w:color w:val="1A2332"/>
          <w:sz w:val="20"/>
          <w:szCs w:val="20"/>
        </w:rPr>
        <w:t xml:space="preserve">The exposure runs the other direction. OpenShell shipped kernel enforcement with roughly fifty contributors and a weekly cadence. ACS shipped a wire contract whose reference Guardian evaluates two of nineteen hooks and fails open by default. In a procurement conversation that comparison does not favor us, however clean the layering story reads.</w:t>
      </w:r>
    </w:p>
    <w:p>
      <w:pPr>
        <w:pStyle w:val="Heading1"/>
        <w:spacing w:after="130" w:before="280"/>
      </w:pPr>
      <w:r>
        <w:rPr>
          <w:rFonts w:ascii="Georgia" w:cs="Georgia" w:eastAsia="Georgia" w:hAnsi="Georgia"/>
          <w:b/>
          <w:bCs/>
          <w:color w:val="0F4C5C"/>
          <w:sz w:val="24"/>
          <w:szCs w:val="24"/>
        </w:rPr>
        <w:t xml:space="preserve">Where Each One Sits</w:t>
      </w:r>
    </w:p>
    <w:tbl>
      <w:tblPr>
        <w:tblW w:type="dxa" w:w="10240"/>
        <w:tblBorders>
          <w:top w:val="single" w:color="C8D2D8" w:sz="2"/>
          <w:left w:val="single" w:color="C8D2D8" w:sz="2"/>
          <w:bottom w:val="single" w:color="C8D2D8" w:sz="2"/>
          <w:right w:val="single" w:color="C8D2D8" w:sz="2"/>
          <w:insideH w:val="single" w:color="C8D2D8" w:sz="2"/>
          <w:insideV w:val="single" w:color="C8D2D8" w:sz="2"/>
        </w:tblBorders>
      </w:tblPr>
      <w:tblGrid>
        <w:gridCol w:w="1760"/>
        <w:gridCol w:w="4240"/>
        <w:gridCol w:w="4240"/>
      </w:tblGrid>
      <w:tr>
        <w:trPr>
          <w:tblHeader/>
        </w:trPr>
        <w:tc>
          <w:tcPr>
            <w:tcW w:type="dxa" w:w="1760"/>
            <w:tcBorders>
              <w:top w:val="single" w:color="C8D2D8" w:sz="2"/>
              <w:left w:val="single" w:color="C8D2D8" w:sz="2"/>
              <w:bottom w:val="single" w:color="C8D2D8" w:sz="2"/>
              <w:right w:val="single" w:color="C8D2D8" w:sz="2"/>
            </w:tcBorders>
            <w:shd w:fill="1A2332" w:color="auto" w:val="clear"/>
            <w:tcMar>
              <w:top w:type="dxa" w:w="80"/>
              <w:left w:type="dxa" w:w="130"/>
              <w:bottom w:type="dxa" w:w="80"/>
              <w:right w:type="dxa" w:w="130"/>
            </w:tcMar>
            <w:vAlign w:val="center"/>
          </w:tcPr>
          <w:p>
            <w:pPr>
              <w:spacing w:after="20" w:before="20"/>
            </w:pPr>
            <w:r>
              <w:rPr>
                <w:rFonts w:ascii="Calibri" w:cs="Calibri" w:eastAsia="Calibri" w:hAnsi="Calibri"/>
                <w:b/>
                <w:bCs/>
                <w:caps/>
                <w:color w:val="FFFFFF"/>
                <w:spacing w:val="14"/>
                <w:sz w:val="17"/>
                <w:szCs w:val="17"/>
              </w:rPr>
              <w:t xml:space="preserve">Dimension</w:t>
            </w:r>
          </w:p>
        </w:tc>
        <w:tc>
          <w:tcPr>
            <w:tcW w:type="dxa" w:w="4240"/>
            <w:tcBorders>
              <w:top w:val="single" w:color="C8D2D8" w:sz="2"/>
              <w:left w:val="single" w:color="C8D2D8" w:sz="2"/>
              <w:bottom w:val="single" w:color="C8D2D8" w:sz="2"/>
              <w:right w:val="single" w:color="C8D2D8" w:sz="2"/>
            </w:tcBorders>
            <w:shd w:fill="1A2332" w:color="auto" w:val="clear"/>
            <w:tcMar>
              <w:top w:type="dxa" w:w="80"/>
              <w:left w:type="dxa" w:w="130"/>
              <w:bottom w:type="dxa" w:w="80"/>
              <w:right w:type="dxa" w:w="130"/>
            </w:tcMar>
            <w:vAlign w:val="center"/>
          </w:tcPr>
          <w:p>
            <w:pPr>
              <w:spacing w:after="20" w:before="20"/>
            </w:pPr>
            <w:r>
              <w:rPr>
                <w:rFonts w:ascii="Calibri" w:cs="Calibri" w:eastAsia="Calibri" w:hAnsi="Calibri"/>
                <w:b/>
                <w:bCs/>
                <w:caps/>
                <w:color w:val="FFFFFF"/>
                <w:spacing w:val="14"/>
                <w:sz w:val="17"/>
                <w:szCs w:val="17"/>
              </w:rPr>
              <w:t xml:space="preserve">NVIDIA Open Agent Safety Platform</w:t>
            </w:r>
          </w:p>
        </w:tc>
        <w:tc>
          <w:tcPr>
            <w:tcW w:type="dxa" w:w="4240"/>
            <w:tcBorders>
              <w:top w:val="single" w:color="C8D2D8" w:sz="2"/>
              <w:left w:val="single" w:color="C8D2D8" w:sz="2"/>
              <w:bottom w:val="single" w:color="C8D2D8" w:sz="2"/>
              <w:right w:val="single" w:color="C8D2D8" w:sz="2"/>
            </w:tcBorders>
            <w:shd w:fill="1A2332" w:color="auto" w:val="clear"/>
            <w:tcMar>
              <w:top w:type="dxa" w:w="80"/>
              <w:left w:type="dxa" w:w="130"/>
              <w:bottom w:type="dxa" w:w="80"/>
              <w:right w:type="dxa" w:w="130"/>
            </w:tcMar>
            <w:vAlign w:val="center"/>
          </w:tcPr>
          <w:p>
            <w:pPr>
              <w:spacing w:after="20" w:before="20"/>
            </w:pPr>
            <w:r>
              <w:rPr>
                <w:rFonts w:ascii="Calibri" w:cs="Calibri" w:eastAsia="Calibri" w:hAnsi="Calibri"/>
                <w:b/>
                <w:bCs/>
                <w:caps/>
                <w:color w:val="FFFFFF"/>
                <w:spacing w:val="14"/>
                <w:sz w:val="17"/>
                <w:szCs w:val="17"/>
              </w:rPr>
              <w:t xml:space="preserve">OWASP Agent Control Standard</w:t>
            </w:r>
          </w:p>
        </w:tc>
      </w:tr>
      <w:tr>
        <w:tc>
          <w:tcPr>
            <w:tcW w:type="dxa" w:w="176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Primary object</w:t>
            </w:r>
          </w:p>
        </w:tc>
        <w:tc>
          <w:tcPr>
            <w:tcW w:type="dxa" w:w="424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A runtime. Sandbox, supervisor, gateway, plus Sentry as a BlueField-4 reference design.</w:t>
            </w:r>
          </w:p>
        </w:tc>
        <w:tc>
          <w:tcPr>
            <w:tcW w:type="dxa" w:w="424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A wire contract. JSON-RPC 2.0 between an Observed Agent and a Guardian.</w:t>
            </w:r>
          </w:p>
        </w:tc>
      </w:tr>
      <w:tr>
        <w:tc>
          <w:tcPr>
            <w:tcW w:type="dxa" w:w="176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Enforcement point</w:t>
            </w:r>
          </w:p>
        </w:tc>
        <w:tc>
          <w:tcPr>
            <w:tcW w:type="dxa" w:w="424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Kernel. Landlock LSM, seccomp BPF, egress through the supervisor.</w:t>
            </w:r>
          </w:p>
        </w:tc>
        <w:tc>
          <w:tcPr>
            <w:tcW w:type="dxa" w:w="424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The framework, before the action executes. Five dispositions: </w:t>
            </w:r>
            <w:r>
              <w:rPr>
                <w:rFonts w:ascii="Consolas" w:cs="Consolas" w:eastAsia="Consolas" w:hAnsi="Consolas"/>
                <w:b w:val="false"/>
                <w:bCs w:val="false"/>
                <w:i w:val="false"/>
                <w:iCs w:val="false"/>
                <w:color w:val="1A2332"/>
                <w:sz w:val="18"/>
                <w:szCs w:val="18"/>
              </w:rPr>
              <w:t xml:space="preserve">allow, deny, modify, ask, defer</w:t>
            </w:r>
          </w:p>
        </w:tc>
      </w:tr>
      <w:tr>
        <w:tc>
          <w:tcPr>
            <w:tcW w:type="dxa" w:w="176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Governance</w:t>
            </w:r>
          </w:p>
        </w:tc>
        <w:tc>
          <w:tcPr>
            <w:tcW w:type="dxa" w:w="424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NVIDIA-led, Apache 2.0. Feeds the Open Secure AI Alliance under the Linux Foundation.</w:t>
            </w:r>
          </w:p>
        </w:tc>
        <w:tc>
          <w:tcPr>
            <w:tcW w:type="dxa" w:w="424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OWASP GenAI Security Project. Apache 2.0 code and schemas, CC BY-SA 4.0 docs.</w:t>
            </w:r>
          </w:p>
        </w:tc>
      </w:tr>
      <w:tr>
        <w:tc>
          <w:tcPr>
            <w:tcW w:type="dxa" w:w="176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Maturity</w:t>
            </w:r>
          </w:p>
        </w:tc>
        <w:tc>
          <w:tcPr>
            <w:tcW w:type="dxa" w:w="424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OpenShell v0.1.2, assets dated 2026-09-28. ~50 contributors, weekly cadence.</w:t>
            </w:r>
          </w:p>
        </w:tc>
        <w:tc>
          <w:tcPr>
            <w:tcW w:type="dxa" w:w="424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Spec v0.1.0, release tag v0.1.2. 44 schemas, 19 hooks, latest commit 2026-09-21.</w:t>
            </w:r>
          </w:p>
        </w:tc>
      </w:tr>
      <w:tr>
        <w:tc>
          <w:tcPr>
            <w:tcW w:type="dxa" w:w="176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Hardware</w:t>
            </w:r>
          </w:p>
        </w:tc>
        <w:tc>
          <w:tcPr>
            <w:tcW w:type="dxa" w:w="424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OpenShell needs Linux 6.2+ for Landlock. Sentry needs BlueField-4 and DOCA.</w:t>
            </w:r>
          </w:p>
        </w:tc>
        <w:tc>
          <w:tcPr>
            <w:tcW w:type="dxa" w:w="424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None. No silicon, cloud, model family, or runtime dependency.</w:t>
            </w:r>
          </w:p>
        </w:tc>
      </w:tr>
      <w:tr>
        <w:tc>
          <w:tcPr>
            <w:tcW w:type="dxa" w:w="176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Does not do</w:t>
            </w:r>
          </w:p>
        </w:tc>
        <w:tc>
          <w:tcPr>
            <w:tcW w:type="dxa" w:w="424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No cross-vendor control verdict. Protocol-aware inbound authorization is open and unshipped (issue #2144).</w:t>
            </w:r>
          </w:p>
        </w:tc>
        <w:tc>
          <w:tcPr>
            <w:tcW w:type="dxa" w:w="424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Verifies no conformance claim in v0.1.0. Cannot force every code path through a hook.</w:t>
            </w:r>
          </w:p>
        </w:tc>
      </w:tr>
    </w:tbl>
    <w:p>
      <w:pPr>
        <w:pStyle w:val="Heading1"/>
        <w:spacing w:after="130" w:before="280"/>
      </w:pPr>
      <w:r>
        <w:rPr>
          <w:rFonts w:ascii="Georgia" w:cs="Georgia" w:eastAsia="Georgia" w:hAnsi="Georgia"/>
          <w:b/>
          <w:bCs/>
          <w:color w:val="0F4C5C"/>
          <w:sz w:val="24"/>
          <w:szCs w:val="24"/>
        </w:rPr>
        <w:t xml:space="preserve">Where They Collide</w:t>
      </w:r>
    </w:p>
    <w:p>
      <w:pPr>
        <w:spacing w:after="100" w:line="288"/>
      </w:pPr>
      <w:r>
        <w:rPr>
          <w:rFonts w:ascii="Calibri" w:cs="Calibri" w:eastAsia="Calibri" w:hAnsi="Calibri"/>
          <w:color w:val="1A2332"/>
          <w:sz w:val="20"/>
          <w:szCs w:val="20"/>
        </w:rPr>
        <w:t xml:space="preserve">Scored on what an organization adopting both would have to reconcile. Severity is blast radius, confidence is source support.</w:t>
      </w:r>
    </w:p>
    <w:tbl>
      <w:tblPr>
        <w:tblW w:type="dxa" w:w="10240"/>
        <w:tblBorders>
          <w:top w:val="single" w:color="C8D2D8" w:sz="2"/>
          <w:left w:val="single" w:color="C8D2D8" w:sz="2"/>
          <w:bottom w:val="single" w:color="C8D2D8" w:sz="2"/>
          <w:right w:val="single" w:color="C8D2D8" w:sz="2"/>
          <w:insideH w:val="single" w:color="C8D2D8" w:sz="2"/>
          <w:insideV w:val="single" w:color="C8D2D8" w:sz="2"/>
        </w:tblBorders>
      </w:tblPr>
      <w:tblGrid>
        <w:gridCol w:w="2620"/>
        <w:gridCol w:w="4980"/>
        <w:gridCol w:w="1320"/>
        <w:gridCol w:w="1320"/>
      </w:tblGrid>
      <w:tr>
        <w:trPr>
          <w:tblHeader/>
        </w:trPr>
        <w:tc>
          <w:tcPr>
            <w:tcW w:type="dxa" w:w="2620"/>
            <w:tcBorders>
              <w:top w:val="single" w:color="C8D2D8" w:sz="2"/>
              <w:left w:val="single" w:color="C8D2D8" w:sz="2"/>
              <w:bottom w:val="single" w:color="C8D2D8" w:sz="2"/>
              <w:right w:val="single" w:color="C8D2D8" w:sz="2"/>
            </w:tcBorders>
            <w:shd w:fill="1A2332" w:color="auto" w:val="clear"/>
            <w:tcMar>
              <w:top w:type="dxa" w:w="80"/>
              <w:left w:type="dxa" w:w="130"/>
              <w:bottom w:type="dxa" w:w="80"/>
              <w:right w:type="dxa" w:w="130"/>
            </w:tcMar>
            <w:vAlign w:val="center"/>
          </w:tcPr>
          <w:p>
            <w:pPr>
              <w:spacing w:after="20" w:before="20"/>
            </w:pPr>
            <w:r>
              <w:rPr>
                <w:rFonts w:ascii="Calibri" w:cs="Calibri" w:eastAsia="Calibri" w:hAnsi="Calibri"/>
                <w:b/>
                <w:bCs/>
                <w:caps/>
                <w:color w:val="FFFFFF"/>
                <w:spacing w:val="14"/>
                <w:sz w:val="17"/>
                <w:szCs w:val="17"/>
              </w:rPr>
              <w:t xml:space="preserve">Collision</w:t>
            </w:r>
          </w:p>
        </w:tc>
        <w:tc>
          <w:tcPr>
            <w:tcW w:type="dxa" w:w="4980"/>
            <w:tcBorders>
              <w:top w:val="single" w:color="C8D2D8" w:sz="2"/>
              <w:left w:val="single" w:color="C8D2D8" w:sz="2"/>
              <w:bottom w:val="single" w:color="C8D2D8" w:sz="2"/>
              <w:right w:val="single" w:color="C8D2D8" w:sz="2"/>
            </w:tcBorders>
            <w:shd w:fill="1A2332" w:color="auto" w:val="clear"/>
            <w:tcMar>
              <w:top w:type="dxa" w:w="80"/>
              <w:left w:type="dxa" w:w="130"/>
              <w:bottom w:type="dxa" w:w="80"/>
              <w:right w:type="dxa" w:w="130"/>
            </w:tcMar>
            <w:vAlign w:val="center"/>
          </w:tcPr>
          <w:p>
            <w:pPr>
              <w:spacing w:after="20" w:before="20"/>
            </w:pPr>
            <w:r>
              <w:rPr>
                <w:rFonts w:ascii="Calibri" w:cs="Calibri" w:eastAsia="Calibri" w:hAnsi="Calibri"/>
                <w:b/>
                <w:bCs/>
                <w:caps/>
                <w:color w:val="FFFFFF"/>
                <w:spacing w:val="14"/>
                <w:sz w:val="17"/>
                <w:szCs w:val="17"/>
              </w:rPr>
              <w:t xml:space="preserve">What an implementer must reconcile</w:t>
            </w:r>
          </w:p>
        </w:tc>
        <w:tc>
          <w:tcPr>
            <w:tcW w:type="dxa" w:w="1320"/>
            <w:tcBorders>
              <w:top w:val="single" w:color="C8D2D8" w:sz="2"/>
              <w:left w:val="single" w:color="C8D2D8" w:sz="2"/>
              <w:bottom w:val="single" w:color="C8D2D8" w:sz="2"/>
              <w:right w:val="single" w:color="C8D2D8" w:sz="2"/>
            </w:tcBorders>
            <w:shd w:fill="1A2332" w:color="auto" w:val="clear"/>
            <w:tcMar>
              <w:top w:type="dxa" w:w="80"/>
              <w:left w:type="dxa" w:w="130"/>
              <w:bottom w:type="dxa" w:w="80"/>
              <w:right w:type="dxa" w:w="130"/>
            </w:tcMar>
            <w:vAlign w:val="center"/>
          </w:tcPr>
          <w:p>
            <w:pPr>
              <w:spacing w:after="20" w:before="20"/>
            </w:pPr>
            <w:r>
              <w:rPr>
                <w:rFonts w:ascii="Calibri" w:cs="Calibri" w:eastAsia="Calibri" w:hAnsi="Calibri"/>
                <w:b/>
                <w:bCs/>
                <w:caps/>
                <w:color w:val="FFFFFF"/>
                <w:spacing w:val="14"/>
                <w:sz w:val="17"/>
                <w:szCs w:val="17"/>
              </w:rPr>
              <w:t xml:space="preserve">Severity</w:t>
            </w:r>
          </w:p>
        </w:tc>
        <w:tc>
          <w:tcPr>
            <w:tcW w:type="dxa" w:w="1320"/>
            <w:tcBorders>
              <w:top w:val="single" w:color="C8D2D8" w:sz="2"/>
              <w:left w:val="single" w:color="C8D2D8" w:sz="2"/>
              <w:bottom w:val="single" w:color="C8D2D8" w:sz="2"/>
              <w:right w:val="single" w:color="C8D2D8" w:sz="2"/>
            </w:tcBorders>
            <w:shd w:fill="1A2332" w:color="auto" w:val="clear"/>
            <w:tcMar>
              <w:top w:type="dxa" w:w="80"/>
              <w:left w:type="dxa" w:w="130"/>
              <w:bottom w:type="dxa" w:w="80"/>
              <w:right w:type="dxa" w:w="130"/>
            </w:tcMar>
            <w:vAlign w:val="center"/>
          </w:tcPr>
          <w:p>
            <w:pPr>
              <w:spacing w:after="20" w:before="20"/>
            </w:pPr>
            <w:r>
              <w:rPr>
                <w:rFonts w:ascii="Calibri" w:cs="Calibri" w:eastAsia="Calibri" w:hAnsi="Calibri"/>
                <w:b/>
                <w:bCs/>
                <w:caps/>
                <w:color w:val="FFFFFF"/>
                <w:spacing w:val="14"/>
                <w:sz w:val="17"/>
                <w:szCs w:val="17"/>
              </w:rPr>
              <w:t xml:space="preserve">Confidence</w:t>
            </w:r>
          </w:p>
        </w:tc>
      </w:tr>
      <w:tr>
        <w:tc>
          <w:tcPr>
            <w:tcW w:type="dxa" w:w="262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Trust model</w:t>
            </w:r>
          </w:p>
        </w:tc>
        <w:tc>
          <w:tcPr>
            <w:tcW w:type="dxa" w:w="498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A compromised harness silently skips ACS. OpenShell still enforces. The two disagree about who the adversary is.</w:t>
            </w:r>
          </w:p>
        </w:tc>
        <w:tc>
          <w:tcPr>
            <w:tcW w:type="dxa" w:w="132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bCs/>
                <w:i w:val="false"/>
                <w:iCs w:val="false"/>
                <w:color w:val="A63D40"/>
                <w:sz w:val="19"/>
                <w:szCs w:val="19"/>
              </w:rPr>
              <w:t xml:space="preserve">High</w:t>
            </w:r>
          </w:p>
        </w:tc>
        <w:tc>
          <w:tcPr>
            <w:tcW w:type="dxa" w:w="132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High</w:t>
            </w:r>
          </w:p>
        </w:tc>
      </w:tr>
      <w:tr>
        <w:tc>
          <w:tcPr>
            <w:tcW w:type="dxa" w:w="262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Two policy surfaces</w:t>
            </w:r>
          </w:p>
        </w:tc>
        <w:tc>
          <w:tcPr>
            <w:tcW w:type="dxa" w:w="498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Filesystem and egress rules in OpenShell YAML, tool rules in Guardian policy. Conflict resolution is undefined.</w:t>
            </w:r>
          </w:p>
        </w:tc>
        <w:tc>
          <w:tcPr>
            <w:tcW w:type="dxa" w:w="132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bCs/>
                <w:i w:val="false"/>
                <w:iCs w:val="false"/>
                <w:color w:val="A63D40"/>
                <w:sz w:val="19"/>
                <w:szCs w:val="19"/>
              </w:rPr>
              <w:t xml:space="preserve">High</w:t>
            </w:r>
          </w:p>
        </w:tc>
        <w:tc>
          <w:tcPr>
            <w:tcW w:type="dxa" w:w="132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High</w:t>
            </w:r>
          </w:p>
        </w:tc>
      </w:tr>
      <w:tr>
        <w:tc>
          <w:tcPr>
            <w:tcW w:type="dxa" w:w="262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Failure posture</w:t>
            </w:r>
          </w:p>
        </w:tc>
        <w:tc>
          <w:tcPr>
            <w:tcW w:type="dxa" w:w="498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ACS Guardian defaults to proceed. OpenShell fails closed at the kernel. A joint deployment inherits the weaker default unless </w:t>
            </w:r>
            <w:r>
              <w:rPr>
                <w:rFonts w:ascii="Consolas" w:cs="Consolas" w:eastAsia="Consolas" w:hAnsi="Consolas"/>
                <w:b w:val="false"/>
                <w:bCs w:val="false"/>
                <w:i w:val="false"/>
                <w:iCs w:val="false"/>
                <w:color w:val="1A2332"/>
                <w:sz w:val="18"/>
                <w:szCs w:val="18"/>
              </w:rPr>
              <w:t xml:space="preserve">ACS_ON_DECISION_FAILURE=deny</w:t>
            </w:r>
            <w:r>
              <w:rPr>
                <w:rFonts w:ascii="Calibri" w:cs="Calibri" w:eastAsia="Calibri" w:hAnsi="Calibri"/>
                <w:b w:val="false"/>
                <w:bCs w:val="false"/>
                <w:i w:val="false"/>
                <w:iCs w:val="false"/>
                <w:color w:val="1A2332"/>
                <w:sz w:val="19"/>
                <w:szCs w:val="19"/>
              </w:rPr>
              <w:t xml:space="preserve"> is set.</w:t>
            </w:r>
          </w:p>
        </w:tc>
        <w:tc>
          <w:tcPr>
            <w:tcW w:type="dxa" w:w="132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bCs/>
                <w:i w:val="false"/>
                <w:iCs w:val="false"/>
                <w:color w:val="A63D40"/>
                <w:sz w:val="19"/>
                <w:szCs w:val="19"/>
              </w:rPr>
              <w:t xml:space="preserve">High</w:t>
            </w:r>
          </w:p>
        </w:tc>
        <w:tc>
          <w:tcPr>
            <w:tcW w:type="dxa" w:w="132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High</w:t>
            </w:r>
          </w:p>
        </w:tc>
      </w:tr>
      <w:tr>
        <w:tc>
          <w:tcPr>
            <w:tcW w:type="dxa" w:w="262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Conformance asymmetry</w:t>
            </w:r>
          </w:p>
        </w:tc>
        <w:tc>
          <w:tcPr>
            <w:tcW w:type="dxa" w:w="498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The ACS reference Guardian accepts unsigned, replayed and stale envelopes and publishes no chain head (issue #184). OpenShell ships running kernel enforcement.</w:t>
            </w:r>
          </w:p>
        </w:tc>
        <w:tc>
          <w:tcPr>
            <w:tcW w:type="dxa" w:w="132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bCs/>
                <w:i w:val="false"/>
                <w:iCs w:val="false"/>
                <w:color w:val="A63D40"/>
                <w:sz w:val="19"/>
                <w:szCs w:val="19"/>
              </w:rPr>
              <w:t xml:space="preserve">High</w:t>
            </w:r>
          </w:p>
        </w:tc>
        <w:tc>
          <w:tcPr>
            <w:tcW w:type="dxa" w:w="132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High</w:t>
            </w:r>
          </w:p>
        </w:tc>
      </w:tr>
      <w:tr>
        <w:tc>
          <w:tcPr>
            <w:tcW w:type="dxa" w:w="262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Telemetry lineage</w:t>
            </w:r>
          </w:p>
        </w:tc>
        <w:tc>
          <w:tcPr>
            <w:tcW w:type="dxa" w:w="498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NVIDIA’s OTel export explicitly excludes OCSF, with correlation bolted on via issue #2640. ACS mandates decision-as-span-event and OCSF together.</w:t>
            </w:r>
          </w:p>
        </w:tc>
        <w:tc>
          <w:tcPr>
            <w:tcW w:type="dxa" w:w="132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Medium</w:t>
            </w:r>
          </w:p>
        </w:tc>
        <w:tc>
          <w:tcPr>
            <w:tcW w:type="dxa" w:w="132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High</w:t>
            </w:r>
          </w:p>
        </w:tc>
      </w:tr>
      <w:tr>
        <w:tc>
          <w:tcPr>
            <w:tcW w:type="dxa" w:w="262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Governance competition</w:t>
            </w:r>
          </w:p>
        </w:tc>
        <w:tc>
          <w:tcPr>
            <w:tcW w:type="dxa" w:w="498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OSAIA joined the Linux Foundation on September 14, 2026 with 37 named inaugural partners. ACS is not among them. LF is selling the same neutral-home story.</w:t>
            </w:r>
          </w:p>
        </w:tc>
        <w:tc>
          <w:tcPr>
            <w:tcW w:type="dxa" w:w="132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bCs/>
                <w:i w:val="false"/>
                <w:iCs w:val="false"/>
                <w:color w:val="A63D40"/>
                <w:sz w:val="19"/>
                <w:szCs w:val="19"/>
              </w:rPr>
              <w:t xml:space="preserve">High</w:t>
            </w:r>
          </w:p>
        </w:tc>
        <w:tc>
          <w:tcPr>
            <w:tcW w:type="dxa" w:w="132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Medium</w:t>
            </w:r>
          </w:p>
        </w:tc>
      </w:tr>
    </w:tbl>
    <w:p>
      <w:pPr>
        <w:pStyle w:val="Heading1"/>
        <w:spacing w:after="130" w:before="280"/>
      </w:pPr>
      <w:r>
        <w:rPr>
          <w:rFonts w:ascii="Georgia" w:cs="Georgia" w:eastAsia="Georgia" w:hAnsi="Georgia"/>
          <w:b/>
          <w:bCs/>
          <w:color w:val="0F4C5C"/>
          <w:sz w:val="24"/>
          <w:szCs w:val="24"/>
        </w:rPr>
        <w:t xml:space="preserve">The OCSF Bindings We Can Prove</w:t>
      </w:r>
    </w:p>
    <w:p>
      <w:pPr>
        <w:spacing w:after="140" w:line="288"/>
      </w:pPr>
      <w:r>
        <w:rPr>
          <w:rFonts w:ascii="Calibri" w:cs="Calibri" w:eastAsia="Calibri" w:hAnsi="Calibri"/>
          <w:b w:val="false"/>
          <w:bCs w:val="false"/>
          <w:i w:val="false"/>
          <w:iCs w:val="false"/>
          <w:color w:val="1A2332"/>
          <w:sz w:val="20"/>
          <w:szCs w:val="20"/>
        </w:rPr>
        <w:t xml:space="preserve">Proven </w:t>
      </w:r>
      <w:r>
        <w:rPr>
          <w:rFonts w:ascii="Calibri" w:cs="Calibri" w:eastAsia="Calibri" w:hAnsi="Calibri"/>
          <w:b w:val="false"/>
          <w:bCs w:val="false"/>
          <w:i w:val="false"/>
          <w:iCs w:val="false"/>
          <w:color w:val="1A2332"/>
          <w:sz w:val="20"/>
          <w:szCs w:val="20"/>
        </w:rPr>
        <w:t xml:space="preserve">means both sides document it. </w:t>
      </w:r>
      <w:r>
        <w:rPr>
          <w:rFonts w:ascii="Calibri" w:cs="Calibri" w:eastAsia="Calibri" w:hAnsi="Calibri"/>
          <w:b/>
          <w:bCs/>
          <w:i w:val="false"/>
          <w:iCs w:val="false"/>
          <w:color w:val="1A2332"/>
          <w:sz w:val="20"/>
          <w:szCs w:val="20"/>
        </w:rPr>
        <w:t xml:space="preserve">Proposed </w:t>
      </w:r>
      <w:r>
        <w:rPr>
          <w:rFonts w:ascii="Calibri" w:cs="Calibri" w:eastAsia="Calibri" w:hAnsi="Calibri"/>
          <w:b w:val="false"/>
          <w:bCs w:val="false"/>
          <w:i w:val="false"/>
          <w:iCs w:val="false"/>
          <w:color w:val="1A2332"/>
          <w:sz w:val="20"/>
          <w:szCs w:val="20"/>
        </w:rPr>
        <w:t xml:space="preserve">means the bind follows from the two schemas but nobody has written it down, which is the gap this page closes. Nothing here needs a code change on NVIDIA’s side. ACS values come from </w:t>
      </w:r>
      <w:r>
        <w:rPr>
          <w:rFonts w:ascii="Consolas" w:cs="Consolas" w:eastAsia="Consolas" w:hAnsi="Consolas"/>
          <w:b w:val="false"/>
          <w:bCs w:val="false"/>
          <w:i w:val="false"/>
          <w:iCs w:val="false"/>
          <w:color w:val="1A2332"/>
          <w:sz w:val="19"/>
          <w:szCs w:val="19"/>
        </w:rPr>
        <w:t xml:space="preserve">trace/ocsf-mapping.json</w:t>
      </w:r>
      <w:r>
        <w:rPr>
          <w:rFonts w:ascii="Calibri" w:cs="Calibri" w:eastAsia="Calibri" w:hAnsi="Calibri"/>
          <w:b w:val="false"/>
          <w:bCs w:val="false"/>
          <w:i w:val="false"/>
          <w:iCs w:val="false"/>
          <w:color w:val="1A2332"/>
          <w:sz w:val="20"/>
          <w:szCs w:val="20"/>
        </w:rPr>
        <w:t xml:space="preserve"> and </w:t>
      </w:r>
      <w:r>
        <w:rPr>
          <w:rFonts w:ascii="Consolas" w:cs="Consolas" w:eastAsia="Consolas" w:hAnsi="Consolas"/>
          <w:b w:val="false"/>
          <w:bCs w:val="false"/>
          <w:i w:val="false"/>
          <w:iCs w:val="false"/>
          <w:color w:val="1A2332"/>
          <w:sz w:val="19"/>
          <w:szCs w:val="19"/>
        </w:rPr>
        <w:t xml:space="preserve">trace/otel-mapping.json</w:t>
      </w:r>
      <w:r>
        <w:rPr>
          <w:rFonts w:ascii="Calibri" w:cs="Calibri" w:eastAsia="Calibri" w:hAnsi="Calibri"/>
          <w:b w:val="false"/>
          <w:bCs w:val="false"/>
          <w:i w:val="false"/>
          <w:iCs w:val="false"/>
          <w:color w:val="1A2332"/>
          <w:sz w:val="20"/>
          <w:szCs w:val="20"/>
        </w:rPr>
        <w:t xml:space="preserve"> at commit 27799c2. OpenShell values come from NVIDIA’s published docs and issue tracker. ACS pins UIDs as stable from OCSF 1.5 onward and OpenShell emits v1.8.0, so the versions already agree. Decision severity maps deny 4, ask and defer 3, modify 2, allow 1.</w:t>
      </w:r>
    </w:p>
    <w:tbl>
      <w:tblPr>
        <w:tblW w:type="dxa" w:w="10240"/>
        <w:tblBorders>
          <w:top w:val="single" w:color="C8D2D8" w:sz="2"/>
          <w:left w:val="single" w:color="C8D2D8" w:sz="2"/>
          <w:bottom w:val="single" w:color="C8D2D8" w:sz="2"/>
          <w:right w:val="single" w:color="C8D2D8" w:sz="2"/>
          <w:insideH w:val="single" w:color="C8D2D8" w:sz="2"/>
          <w:insideV w:val="single" w:color="C8D2D8" w:sz="2"/>
        </w:tblBorders>
      </w:tblPr>
      <w:tblGrid>
        <w:gridCol w:w="2980"/>
        <w:gridCol w:w="2660"/>
        <w:gridCol w:w="2660"/>
        <w:gridCol w:w="1940"/>
      </w:tblGrid>
      <w:tr>
        <w:trPr>
          <w:tblHeader/>
        </w:trPr>
        <w:tc>
          <w:tcPr>
            <w:tcW w:type="dxa" w:w="2980"/>
            <w:tcBorders>
              <w:top w:val="single" w:color="C8D2D8" w:sz="2"/>
              <w:left w:val="single" w:color="C8D2D8" w:sz="2"/>
              <w:bottom w:val="single" w:color="C8D2D8" w:sz="2"/>
              <w:right w:val="single" w:color="C8D2D8" w:sz="2"/>
            </w:tcBorders>
            <w:shd w:fill="1A2332" w:color="auto" w:val="clear"/>
            <w:tcMar>
              <w:top w:type="dxa" w:w="80"/>
              <w:left w:type="dxa" w:w="130"/>
              <w:bottom w:type="dxa" w:w="80"/>
              <w:right w:type="dxa" w:w="130"/>
            </w:tcMar>
            <w:vAlign w:val="center"/>
          </w:tcPr>
          <w:p>
            <w:pPr>
              <w:spacing w:after="20" w:before="20"/>
            </w:pPr>
            <w:r>
              <w:rPr>
                <w:rFonts w:ascii="Calibri" w:cs="Calibri" w:eastAsia="Calibri" w:hAnsi="Calibri"/>
                <w:b/>
                <w:bCs/>
                <w:caps/>
                <w:color w:val="FFFFFF"/>
                <w:spacing w:val="14"/>
                <w:sz w:val="17"/>
                <w:szCs w:val="17"/>
              </w:rPr>
              <w:t xml:space="preserve">ACS v0.1.0 artifact</w:t>
            </w:r>
          </w:p>
        </w:tc>
        <w:tc>
          <w:tcPr>
            <w:tcW w:type="dxa" w:w="2660"/>
            <w:tcBorders>
              <w:top w:val="single" w:color="C8D2D8" w:sz="2"/>
              <w:left w:val="single" w:color="C8D2D8" w:sz="2"/>
              <w:bottom w:val="single" w:color="C8D2D8" w:sz="2"/>
              <w:right w:val="single" w:color="C8D2D8" w:sz="2"/>
            </w:tcBorders>
            <w:shd w:fill="1A2332" w:color="auto" w:val="clear"/>
            <w:tcMar>
              <w:top w:type="dxa" w:w="80"/>
              <w:left w:type="dxa" w:w="130"/>
              <w:bottom w:type="dxa" w:w="80"/>
              <w:right w:type="dxa" w:w="130"/>
            </w:tcMar>
            <w:vAlign w:val="center"/>
          </w:tcPr>
          <w:p>
            <w:pPr>
              <w:spacing w:after="20" w:before="20"/>
            </w:pPr>
            <w:r>
              <w:rPr>
                <w:rFonts w:ascii="Calibri" w:cs="Calibri" w:eastAsia="Calibri" w:hAnsi="Calibri"/>
                <w:b/>
                <w:bCs/>
                <w:caps/>
                <w:color w:val="FFFFFF"/>
                <w:spacing w:val="14"/>
                <w:sz w:val="17"/>
                <w:szCs w:val="17"/>
              </w:rPr>
              <w:t xml:space="preserve">OCSF binding</w:t>
            </w:r>
          </w:p>
        </w:tc>
        <w:tc>
          <w:tcPr>
            <w:tcW w:type="dxa" w:w="2660"/>
            <w:tcBorders>
              <w:top w:val="single" w:color="C8D2D8" w:sz="2"/>
              <w:left w:val="single" w:color="C8D2D8" w:sz="2"/>
              <w:bottom w:val="single" w:color="C8D2D8" w:sz="2"/>
              <w:right w:val="single" w:color="C8D2D8" w:sz="2"/>
            </w:tcBorders>
            <w:shd w:fill="1A2332" w:color="auto" w:val="clear"/>
            <w:tcMar>
              <w:top w:type="dxa" w:w="80"/>
              <w:left w:type="dxa" w:w="130"/>
              <w:bottom w:type="dxa" w:w="80"/>
              <w:right w:type="dxa" w:w="130"/>
            </w:tcMar>
            <w:vAlign w:val="center"/>
          </w:tcPr>
          <w:p>
            <w:pPr>
              <w:spacing w:after="20" w:before="20"/>
            </w:pPr>
            <w:r>
              <w:rPr>
                <w:rFonts w:ascii="Calibri" w:cs="Calibri" w:eastAsia="Calibri" w:hAnsi="Calibri"/>
                <w:b/>
                <w:bCs/>
                <w:caps/>
                <w:color w:val="FFFFFF"/>
                <w:spacing w:val="14"/>
                <w:sz w:val="17"/>
                <w:szCs w:val="17"/>
              </w:rPr>
              <w:t xml:space="preserve">OpenShell counterpart</w:t>
            </w:r>
          </w:p>
        </w:tc>
        <w:tc>
          <w:tcPr>
            <w:tcW w:type="dxa" w:w="1940"/>
            <w:tcBorders>
              <w:top w:val="single" w:color="C8D2D8" w:sz="2"/>
              <w:left w:val="single" w:color="C8D2D8" w:sz="2"/>
              <w:bottom w:val="single" w:color="C8D2D8" w:sz="2"/>
              <w:right w:val="single" w:color="C8D2D8" w:sz="2"/>
            </w:tcBorders>
            <w:shd w:fill="1A2332" w:color="auto" w:val="clear"/>
            <w:tcMar>
              <w:top w:type="dxa" w:w="80"/>
              <w:left w:type="dxa" w:w="130"/>
              <w:bottom w:type="dxa" w:w="80"/>
              <w:right w:type="dxa" w:w="130"/>
            </w:tcMar>
            <w:vAlign w:val="center"/>
          </w:tcPr>
          <w:p>
            <w:pPr>
              <w:spacing w:after="20" w:before="20"/>
            </w:pPr>
            <w:r>
              <w:rPr>
                <w:rFonts w:ascii="Calibri" w:cs="Calibri" w:eastAsia="Calibri" w:hAnsi="Calibri"/>
                <w:b/>
                <w:bCs/>
                <w:caps/>
                <w:color w:val="FFFFFF"/>
                <w:spacing w:val="14"/>
                <w:sz w:val="17"/>
                <w:szCs w:val="17"/>
              </w:rPr>
              <w:t xml:space="preserve">Status</w:t>
            </w:r>
          </w:p>
        </w:tc>
      </w:tr>
      <w:tr>
        <w:tc>
          <w:tcPr>
            <w:tcW w:type="dxa" w:w="298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onsolas" w:cs="Consolas" w:eastAsia="Consolas" w:hAnsi="Consolas"/>
                <w:b w:val="false"/>
                <w:bCs w:val="false"/>
                <w:i w:val="false"/>
                <w:iCs w:val="false"/>
                <w:color w:val="1A2332"/>
                <w:sz w:val="18"/>
                <w:szCs w:val="18"/>
              </w:rPr>
              <w:t xml:space="preserve">steps/toolCallRequest</w:t>
            </w:r>
            <w:r>
              <w:rPr>
                <w:rFonts w:ascii="Calibri" w:cs="Calibri" w:eastAsia="Calibri" w:hAnsi="Calibri"/>
                <w:b w:val="false"/>
                <w:bCs w:val="false"/>
                <w:i w:val="false"/>
                <w:iCs w:val="false"/>
                <w:color w:val="1A2332"/>
                <w:sz w:val="19"/>
                <w:szCs w:val="19"/>
              </w:rPr>
              <w:t xml:space="preserve">, </w:t>
            </w:r>
            <w:r>
              <w:rPr>
                <w:rFonts w:ascii="Consolas" w:cs="Consolas" w:eastAsia="Consolas" w:hAnsi="Consolas"/>
                <w:b w:val="false"/>
                <w:bCs w:val="false"/>
                <w:i w:val="false"/>
                <w:iCs w:val="false"/>
                <w:color w:val="1A2332"/>
                <w:sz w:val="18"/>
                <w:szCs w:val="18"/>
              </w:rPr>
              <w:t xml:space="preserve">steps/toolCallResult</w:t>
            </w:r>
          </w:p>
        </w:tc>
        <w:tc>
          <w:tcPr>
            <w:tcW w:type="dxa" w:w="266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Process Activity [1007]</w:t>
            </w:r>
          </w:p>
        </w:tc>
        <w:tc>
          <w:tcPr>
            <w:tcW w:type="dxa" w:w="266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Process events (</w:t>
            </w:r>
            <w:r>
              <w:rPr>
                <w:rFonts w:ascii="Consolas" w:cs="Consolas" w:eastAsia="Consolas" w:hAnsi="Consolas"/>
                <w:b w:val="false"/>
                <w:bCs w:val="false"/>
                <w:i w:val="false"/>
                <w:iCs w:val="false"/>
                <w:color w:val="1A2332"/>
                <w:sz w:val="18"/>
                <w:szCs w:val="18"/>
              </w:rPr>
              <w:t xml:space="preserve">PROC:LAUNCH</w:t>
            </w:r>
            <w:r>
              <w:rPr>
                <w:rFonts w:ascii="Calibri" w:cs="Calibri" w:eastAsia="Calibri" w:hAnsi="Calibri"/>
                <w:b w:val="false"/>
                <w:bCs w:val="false"/>
                <w:i w:val="false"/>
                <w:iCs w:val="false"/>
                <w:color w:val="1A2332"/>
                <w:sz w:val="19"/>
                <w:szCs w:val="19"/>
              </w:rPr>
              <w:t xml:space="preserve">)</w:t>
            </w:r>
          </w:p>
        </w:tc>
        <w:tc>
          <w:tcPr>
            <w:tcW w:type="dxa" w:w="194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Aligned. UID unconfirmed</w:t>
            </w:r>
          </w:p>
        </w:tc>
      </w:tr>
      <w:tr>
        <w:tc>
          <w:tcPr>
            <w:tcW w:type="dxa" w:w="298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Decision: deny, modify, ask, defer</w:t>
            </w:r>
          </w:p>
        </w:tc>
        <w:tc>
          <w:tcPr>
            <w:tcW w:type="dxa" w:w="266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Detection Finding [2004]. Requires </w:t>
            </w:r>
            <w:r>
              <w:rPr>
                <w:rFonts w:ascii="Consolas" w:cs="Consolas" w:eastAsia="Consolas" w:hAnsi="Consolas"/>
                <w:b w:val="false"/>
                <w:bCs w:val="false"/>
                <w:i w:val="false"/>
                <w:iCs w:val="false"/>
                <w:color w:val="1A2332"/>
                <w:sz w:val="18"/>
                <w:szCs w:val="18"/>
              </w:rPr>
              <w:t xml:space="preserve">finding.title, finding.uid, evidences, verdict_id</w:t>
            </w:r>
          </w:p>
        </w:tc>
        <w:tc>
          <w:tcPr>
            <w:tcW w:type="dxa" w:w="266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Emits detection findings. Denied </w:t>
            </w:r>
            <w:r>
              <w:rPr>
                <w:rFonts w:ascii="Consolas" w:cs="Consolas" w:eastAsia="Consolas" w:hAnsi="Consolas"/>
                <w:b w:val="false"/>
                <w:bCs w:val="false"/>
                <w:i w:val="false"/>
                <w:iCs w:val="false"/>
                <w:color w:val="1A2332"/>
                <w:sz w:val="18"/>
                <w:szCs w:val="18"/>
              </w:rPr>
              <w:t xml:space="preserve">NET:</w:t>
            </w:r>
            <w:r>
              <w:rPr>
                <w:rFonts w:ascii="Calibri" w:cs="Calibri" w:eastAsia="Calibri" w:hAnsi="Calibri"/>
                <w:b w:val="false"/>
                <w:bCs w:val="false"/>
                <w:i w:val="false"/>
                <w:iCs w:val="false"/>
                <w:color w:val="1A2332"/>
                <w:sz w:val="19"/>
                <w:szCs w:val="19"/>
              </w:rPr>
              <w:t xml:space="preserve"> and </w:t>
            </w:r>
            <w:r>
              <w:rPr>
                <w:rFonts w:ascii="Consolas" w:cs="Consolas" w:eastAsia="Consolas" w:hAnsi="Consolas"/>
                <w:b w:val="false"/>
                <w:bCs w:val="false"/>
                <w:i w:val="false"/>
                <w:iCs w:val="false"/>
                <w:color w:val="1A2332"/>
                <w:sz w:val="18"/>
                <w:szCs w:val="18"/>
              </w:rPr>
              <w:t xml:space="preserve">HTTP:</w:t>
            </w:r>
            <w:r>
              <w:rPr>
                <w:rFonts w:ascii="Calibri" w:cs="Calibri" w:eastAsia="Calibri" w:hAnsi="Calibri"/>
                <w:b w:val="false"/>
                <w:bCs w:val="false"/>
                <w:i w:val="false"/>
                <w:iCs w:val="false"/>
                <w:color w:val="1A2332"/>
                <w:sz w:val="19"/>
                <w:szCs w:val="19"/>
              </w:rPr>
              <w:t xml:space="preserve"> events carry a reason suffix</w:t>
            </w:r>
          </w:p>
        </w:tc>
        <w:tc>
          <w:tcPr>
            <w:tcW w:type="dxa" w:w="194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Aligned. Proven</w:t>
            </w:r>
          </w:p>
        </w:tc>
      </w:tr>
      <w:tr>
        <w:tc>
          <w:tcPr>
            <w:tcW w:type="dxa" w:w="298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onsolas" w:cs="Consolas" w:eastAsia="Consolas" w:hAnsi="Consolas"/>
                <w:b w:val="false"/>
                <w:bCs w:val="false"/>
                <w:i w:val="false"/>
                <w:iCs w:val="false"/>
                <w:color w:val="1A2332"/>
                <w:sz w:val="18"/>
                <w:szCs w:val="18"/>
              </w:rPr>
              <w:t xml:space="preserve">result.reasoning</w:t>
            </w:r>
            <w:r>
              <w:rPr>
                <w:rFonts w:ascii="Calibri" w:cs="Calibri" w:eastAsia="Calibri" w:hAnsi="Calibri"/>
                <w:b w:val="false"/>
                <w:bCs w:val="false"/>
                <w:i w:val="false"/>
                <w:iCs w:val="false"/>
                <w:color w:val="1A2332"/>
                <w:sz w:val="19"/>
                <w:szCs w:val="19"/>
              </w:rPr>
              <w:t xml:space="preserve"> (required on deny)</w:t>
            </w:r>
          </w:p>
        </w:tc>
        <w:tc>
          <w:tcPr>
            <w:tcW w:type="dxa" w:w="266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Finding narrative</w:t>
            </w:r>
          </w:p>
        </w:tc>
        <w:tc>
          <w:tcPr>
            <w:tcW w:type="dxa" w:w="266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onsolas" w:cs="Consolas" w:eastAsia="Consolas" w:hAnsi="Consolas"/>
                <w:b w:val="false"/>
                <w:bCs w:val="false"/>
                <w:i w:val="false"/>
                <w:iCs w:val="false"/>
                <w:color w:val="1A2332"/>
                <w:sz w:val="18"/>
                <w:szCs w:val="18"/>
              </w:rPr>
              <w:t xml:space="preserve">status_detail</w:t>
            </w:r>
          </w:p>
        </w:tc>
        <w:tc>
          <w:tcPr>
            <w:tcW w:type="dxa" w:w="194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Direct bind. Proposed</w:t>
            </w:r>
          </w:p>
        </w:tc>
      </w:tr>
      <w:tr>
        <w:tc>
          <w:tcPr>
            <w:tcW w:type="dxa" w:w="298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onsolas" w:cs="Consolas" w:eastAsia="Consolas" w:hAnsi="Consolas"/>
                <w:b w:val="false"/>
                <w:bCs w:val="false"/>
                <w:i w:val="false"/>
                <w:iCs w:val="false"/>
                <w:color w:val="1A2332"/>
                <w:sz w:val="18"/>
                <w:szCs w:val="18"/>
              </w:rPr>
              <w:t xml:space="preserve">capability</w:t>
            </w:r>
          </w:p>
        </w:tc>
        <w:tc>
          <w:tcPr>
            <w:tcW w:type="dxa" w:w="266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onsolas" w:cs="Consolas" w:eastAsia="Consolas" w:hAnsi="Consolas"/>
                <w:b w:val="false"/>
                <w:bCs w:val="false"/>
                <w:i w:val="false"/>
                <w:iCs w:val="false"/>
                <w:color w:val="1A2332"/>
                <w:sz w:val="18"/>
                <w:szCs w:val="18"/>
              </w:rPr>
              <w:t xml:space="preserve">filesystem.delete, network.egress, process.execute</w:t>
            </w:r>
          </w:p>
        </w:tc>
        <w:tc>
          <w:tcPr>
            <w:tcW w:type="dxa" w:w="266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The three policy domains: filesystem, network, process</w:t>
            </w:r>
          </w:p>
        </w:tc>
        <w:tc>
          <w:tcPr>
            <w:tcW w:type="dxa" w:w="194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One to one. Proven</w:t>
            </w:r>
          </w:p>
        </w:tc>
      </w:tr>
      <w:tr>
        <w:tc>
          <w:tcPr>
            <w:tcW w:type="dxa" w:w="298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onsolas" w:cs="Consolas" w:eastAsia="Consolas" w:hAnsi="Consolas"/>
                <w:b w:val="false"/>
                <w:bCs w:val="false"/>
                <w:i w:val="false"/>
                <w:iCs w:val="false"/>
                <w:color w:val="1A2332"/>
                <w:sz w:val="18"/>
                <w:szCs w:val="18"/>
              </w:rPr>
              <w:t xml:space="preserve">metadata.session_id</w:t>
            </w:r>
            <w:r>
              <w:rPr>
                <w:rFonts w:ascii="Calibri" w:cs="Calibri" w:eastAsia="Calibri" w:hAnsi="Calibri"/>
                <w:b w:val="false"/>
                <w:bCs w:val="false"/>
                <w:i w:val="false"/>
                <w:iCs w:val="false"/>
                <w:color w:val="1A2332"/>
                <w:sz w:val="19"/>
                <w:szCs w:val="19"/>
              </w:rPr>
              <w:t xml:space="preserve">, </w:t>
            </w:r>
            <w:r>
              <w:rPr>
                <w:rFonts w:ascii="Consolas" w:cs="Consolas" w:eastAsia="Consolas" w:hAnsi="Consolas"/>
                <w:b w:val="false"/>
                <w:bCs w:val="false"/>
                <w:i w:val="false"/>
                <w:iCs w:val="false"/>
                <w:color w:val="1A2332"/>
                <w:sz w:val="18"/>
                <w:szCs w:val="18"/>
              </w:rPr>
              <w:t xml:space="preserve">metadata.agent_id</w:t>
            </w:r>
          </w:p>
        </w:tc>
        <w:tc>
          <w:tcPr>
            <w:tcW w:type="dxa" w:w="266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Correlation key</w:t>
            </w:r>
          </w:p>
        </w:tc>
        <w:tc>
          <w:tcPr>
            <w:tcW w:type="dxa" w:w="266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onsolas" w:cs="Consolas" w:eastAsia="Consolas" w:hAnsi="Consolas"/>
                <w:b w:val="false"/>
                <w:bCs w:val="false"/>
                <w:i w:val="false"/>
                <w:iCs w:val="false"/>
                <w:color w:val="1A2332"/>
                <w:sz w:val="18"/>
                <w:szCs w:val="18"/>
              </w:rPr>
              <w:t xml:space="preserve">metadata.uid</w:t>
            </w:r>
            <w:r>
              <w:rPr>
                <w:rFonts w:ascii="Calibri" w:cs="Calibri" w:eastAsia="Calibri" w:hAnsi="Calibri"/>
                <w:b w:val="false"/>
                <w:bCs w:val="false"/>
                <w:i w:val="false"/>
                <w:iCs w:val="false"/>
                <w:color w:val="1A2332"/>
                <w:sz w:val="19"/>
                <w:szCs w:val="19"/>
              </w:rPr>
              <w:t xml:space="preserve"> (sandbox), </w:t>
            </w:r>
            <w:r>
              <w:rPr>
                <w:rFonts w:ascii="Consolas" w:cs="Consolas" w:eastAsia="Consolas" w:hAnsi="Consolas"/>
                <w:b w:val="false"/>
                <w:bCs w:val="false"/>
                <w:i w:val="false"/>
                <w:iCs w:val="false"/>
                <w:color w:val="1A2332"/>
                <w:sz w:val="18"/>
                <w:szCs w:val="18"/>
              </w:rPr>
              <w:t xml:space="preserve">container.uid</w:t>
            </w:r>
          </w:p>
        </w:tc>
        <w:tc>
          <w:tcPr>
            <w:tcW w:type="dxa" w:w="194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Correlation. Proposed</w:t>
            </w:r>
          </w:p>
        </w:tc>
      </w:tr>
      <w:tr>
        <w:tc>
          <w:tcPr>
            <w:tcW w:type="dxa" w:w="298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None</w:t>
            </w:r>
          </w:p>
        </w:tc>
        <w:tc>
          <w:tcPr>
            <w:tcW w:type="dxa" w:w="266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API Activity [6003], </w:t>
            </w:r>
            <w:r>
              <w:rPr>
                <w:rFonts w:ascii="Consolas" w:cs="Consolas" w:eastAsia="Consolas" w:hAnsi="Consolas"/>
                <w:b w:val="false"/>
                <w:bCs w:val="false"/>
                <w:i w:val="false"/>
                <w:iCs w:val="false"/>
                <w:color w:val="1A2332"/>
                <w:sz w:val="18"/>
                <w:szCs w:val="18"/>
              </w:rPr>
              <w:t xml:space="preserve">ai_operation</w:t>
            </w:r>
            <w:r>
              <w:rPr>
                <w:rFonts w:ascii="Calibri" w:cs="Calibri" w:eastAsia="Calibri" w:hAnsi="Calibri"/>
                <w:b w:val="false"/>
                <w:bCs w:val="false"/>
                <w:i w:val="false"/>
                <w:iCs w:val="false"/>
                <w:color w:val="1A2332"/>
                <w:sz w:val="19"/>
                <w:szCs w:val="19"/>
              </w:rPr>
              <w:t xml:space="preserve"> profile, </w:t>
            </w:r>
            <w:r>
              <w:rPr>
                <w:rFonts w:ascii="Consolas" w:cs="Consolas" w:eastAsia="Consolas" w:hAnsi="Consolas"/>
                <w:b w:val="false"/>
                <w:bCs w:val="false"/>
                <w:i w:val="false"/>
                <w:iCs w:val="false"/>
                <w:color w:val="1A2332"/>
                <w:sz w:val="18"/>
                <w:szCs w:val="18"/>
              </w:rPr>
              <w:t xml:space="preserve">ai_model.name</w:t>
            </w:r>
          </w:p>
        </w:tc>
        <w:tc>
          <w:tcPr>
            <w:tcW w:type="dxa" w:w="266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Inference proxy events</w:t>
            </w:r>
          </w:p>
        </w:tc>
        <w:tc>
          <w:tcPr>
            <w:tcW w:type="dxa" w:w="194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bCs/>
                <w:i w:val="false"/>
                <w:iCs w:val="false"/>
                <w:color w:val="A63D40"/>
                <w:sz w:val="19"/>
                <w:szCs w:val="19"/>
              </w:rPr>
              <w:t xml:space="preserve">OpenShell only. ACS gap</w:t>
            </w:r>
          </w:p>
        </w:tc>
      </w:tr>
      <w:tr>
        <w:tc>
          <w:tcPr>
            <w:tcW w:type="dxa" w:w="298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Retrieval, memory, AgBOM hooks</w:t>
            </w:r>
          </w:p>
        </w:tc>
        <w:tc>
          <w:tcPr>
            <w:tcW w:type="dxa" w:w="266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Datastore Activity [6005], Inventory Info [5001]</w:t>
            </w:r>
          </w:p>
        </w:tc>
        <w:tc>
          <w:tcPr>
            <w:tcW w:type="dxa" w:w="266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None</w:t>
            </w:r>
          </w:p>
        </w:tc>
        <w:tc>
          <w:tcPr>
            <w:tcW w:type="dxa" w:w="194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ACS only</w:t>
            </w:r>
          </w:p>
        </w:tc>
      </w:tr>
      <w:tr>
        <w:tc>
          <w:tcPr>
            <w:tcW w:type="dxa" w:w="298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onsolas" w:cs="Consolas" w:eastAsia="Consolas" w:hAnsi="Consolas"/>
                <w:b w:val="false"/>
                <w:bCs w:val="false"/>
                <w:i w:val="false"/>
                <w:iCs w:val="false"/>
                <w:color w:val="1A2332"/>
                <w:sz w:val="18"/>
                <w:szCs w:val="18"/>
              </w:rPr>
              <w:t xml:space="preserve">acs.decision</w:t>
            </w:r>
            <w:r>
              <w:rPr>
                <w:rFonts w:ascii="Calibri" w:cs="Calibri" w:eastAsia="Calibri" w:hAnsi="Calibri"/>
                <w:b w:val="false"/>
                <w:bCs w:val="false"/>
                <w:i w:val="false"/>
                <w:iCs w:val="false"/>
                <w:color w:val="1A2332"/>
                <w:sz w:val="19"/>
                <w:szCs w:val="19"/>
              </w:rPr>
              <w:t xml:space="preserve"> span event on parent step span</w:t>
            </w:r>
          </w:p>
        </w:tc>
        <w:tc>
          <w:tcPr>
            <w:tcW w:type="dxa" w:w="266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OTel, not OCSF</w:t>
            </w:r>
          </w:p>
        </w:tc>
        <w:tc>
          <w:tcPr>
            <w:tcW w:type="dxa" w:w="266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Issue #2640 adds </w:t>
            </w:r>
            <w:r>
              <w:rPr>
                <w:rFonts w:ascii="Consolas" w:cs="Consolas" w:eastAsia="Consolas" w:hAnsi="Consolas"/>
                <w:b w:val="false"/>
                <w:bCs w:val="false"/>
                <w:i w:val="false"/>
                <w:iCs w:val="false"/>
                <w:color w:val="1A2332"/>
                <w:sz w:val="18"/>
                <w:szCs w:val="18"/>
              </w:rPr>
              <w:t xml:space="preserve">trace_id</w:t>
            </w:r>
            <w:r>
              <w:rPr>
                <w:rFonts w:ascii="Calibri" w:cs="Calibri" w:eastAsia="Calibri" w:hAnsi="Calibri"/>
                <w:b w:val="false"/>
                <w:bCs w:val="false"/>
                <w:i w:val="false"/>
                <w:iCs w:val="false"/>
                <w:color w:val="1A2332"/>
                <w:sz w:val="19"/>
                <w:szCs w:val="19"/>
              </w:rPr>
              <w:t xml:space="preserve">/</w:t>
            </w:r>
            <w:r>
              <w:rPr>
                <w:rFonts w:ascii="Consolas" w:cs="Consolas" w:eastAsia="Consolas" w:hAnsi="Consolas"/>
                <w:b w:val="false"/>
                <w:bCs w:val="false"/>
                <w:i w:val="false"/>
                <w:iCs w:val="false"/>
                <w:color w:val="1A2332"/>
                <w:sz w:val="18"/>
                <w:szCs w:val="18"/>
              </w:rPr>
              <w:t xml:space="preserve">span_id</w:t>
            </w:r>
            <w:r>
              <w:rPr>
                <w:rFonts w:ascii="Calibri" w:cs="Calibri" w:eastAsia="Calibri" w:hAnsi="Calibri"/>
                <w:b w:val="false"/>
                <w:bCs w:val="false"/>
                <w:i w:val="false"/>
                <w:iCs w:val="false"/>
                <w:color w:val="1A2332"/>
                <w:sz w:val="19"/>
                <w:szCs w:val="19"/>
              </w:rPr>
              <w:t xml:space="preserve"> to OCSF builders</w:t>
            </w:r>
          </w:p>
        </w:tc>
        <w:tc>
          <w:tcPr>
            <w:tcW w:type="dxa" w:w="194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Convergent. Both in flight</w:t>
            </w:r>
          </w:p>
        </w:tc>
      </w:tr>
      <w:tr>
        <w:tc>
          <w:tcPr>
            <w:tcW w:type="dxa" w:w="298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onsolas" w:cs="Consolas" w:eastAsia="Consolas" w:hAnsi="Consolas"/>
                <w:b w:val="false"/>
                <w:bCs w:val="false"/>
                <w:i w:val="false"/>
                <w:iCs w:val="false"/>
                <w:color w:val="1A2332"/>
                <w:sz w:val="18"/>
                <w:szCs w:val="18"/>
              </w:rPr>
              <w:t xml:space="preserve">chain_hash</w:t>
            </w:r>
            <w:r>
              <w:rPr>
                <w:rFonts w:ascii="Calibri" w:cs="Calibri" w:eastAsia="Calibri" w:hAnsi="Calibri"/>
                <w:b w:val="false"/>
                <w:bCs w:val="false"/>
                <w:i w:val="false"/>
                <w:iCs w:val="false"/>
                <w:color w:val="1A2332"/>
                <w:sz w:val="19"/>
                <w:szCs w:val="19"/>
              </w:rPr>
              <w:t xml:space="preserve"> rolling SHA-256, ACS-Audit </w:t>
            </w:r>
            <w:r>
              <w:rPr>
                <w:rFonts w:ascii="Consolas" w:cs="Consolas" w:eastAsia="Consolas" w:hAnsi="Consolas"/>
                <w:b w:val="false"/>
                <w:bCs w:val="false"/>
                <w:i w:val="false"/>
                <w:iCs w:val="false"/>
                <w:color w:val="1A2332"/>
                <w:sz w:val="18"/>
                <w:szCs w:val="18"/>
              </w:rPr>
              <w:t xml:space="preserve">request_hash</w:t>
            </w:r>
          </w:p>
        </w:tc>
        <w:tc>
          <w:tcPr>
            <w:tcW w:type="dxa" w:w="266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Audit commitment</w:t>
            </w:r>
          </w:p>
        </w:tc>
        <w:tc>
          <w:tcPr>
            <w:tcW w:type="dxa" w:w="266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Issue #2745 evidence bundle. Signing and conformance logic scoped out on purpose</w:t>
            </w:r>
          </w:p>
        </w:tc>
        <w:tc>
          <w:tcPr>
            <w:tcW w:type="dxa" w:w="1940"/>
            <w:tcBorders>
              <w:top w:val="single" w:color="C8D2D8" w:sz="2"/>
              <w:left w:val="single" w:color="C8D2D8" w:sz="2"/>
              <w:bottom w:val="single" w:color="C8D2D8" w:sz="2"/>
              <w:right w:val="single" w:color="C8D2D8" w:sz="2"/>
            </w:tcBorders>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Complementary. NVIDIA’s own scoping</w:t>
            </w:r>
          </w:p>
        </w:tc>
      </w:tr>
      <w:tr>
        <w:tc>
          <w:tcPr>
            <w:tcW w:type="dxa" w:w="298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onsolas" w:cs="Consolas" w:eastAsia="Consolas" w:hAnsi="Consolas"/>
                <w:b w:val="false"/>
                <w:bCs w:val="false"/>
                <w:i w:val="false"/>
                <w:iCs w:val="false"/>
                <w:color w:val="1A2332"/>
                <w:sz w:val="18"/>
                <w:szCs w:val="18"/>
              </w:rPr>
              <w:t xml:space="preserve">skillRegister, skillLoad, skillUnload</w:t>
            </w:r>
          </w:p>
        </w:tc>
        <w:tc>
          <w:tcPr>
            <w:tcW w:type="dxa" w:w="266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Absent from the mapping defaults</w:t>
            </w:r>
          </w:p>
        </w:tc>
        <w:tc>
          <w:tcPr>
            <w:tcW w:type="dxa" w:w="266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val="false"/>
                <w:bCs w:val="false"/>
                <w:i w:val="false"/>
                <w:iCs w:val="false"/>
                <w:color w:val="1A2332"/>
                <w:sz w:val="19"/>
                <w:szCs w:val="19"/>
              </w:rPr>
              <w:t xml:space="preserve">None</w:t>
            </w:r>
          </w:p>
        </w:tc>
        <w:tc>
          <w:tcPr>
            <w:tcW w:type="dxa" w:w="1940"/>
            <w:tcBorders>
              <w:top w:val="single" w:color="C8D2D8" w:sz="2"/>
              <w:left w:val="single" w:color="C8D2D8" w:sz="2"/>
              <w:bottom w:val="single" w:color="C8D2D8" w:sz="2"/>
              <w:right w:val="single" w:color="C8D2D8" w:sz="2"/>
            </w:tcBorders>
            <w:shd w:fill="F2F5F7" w:color="auto" w:val="clear"/>
            <w:tcMar>
              <w:top w:type="dxa" w:w="70"/>
              <w:left w:type="dxa" w:w="130"/>
              <w:bottom w:type="dxa" w:w="70"/>
              <w:right w:type="dxa" w:w="130"/>
            </w:tcMar>
            <w:vAlign w:val="top"/>
          </w:tcPr>
          <w:p>
            <w:pPr>
              <w:spacing w:after="40" w:before="40" w:line="260"/>
              <w:jc w:val="left"/>
            </w:pPr>
            <w:r>
              <w:rPr>
                <w:rFonts w:ascii="Calibri" w:cs="Calibri" w:eastAsia="Calibri" w:hAnsi="Calibri"/>
                <w:b/>
                <w:bCs/>
                <w:i w:val="false"/>
                <w:iCs w:val="false"/>
                <w:color w:val="A63D40"/>
                <w:sz w:val="19"/>
                <w:szCs w:val="19"/>
              </w:rPr>
              <w:t xml:space="preserve">ACS gap. PR open</w:t>
            </w:r>
          </w:p>
        </w:tc>
      </w:tr>
    </w:tbl>
    <w:p>
      <w:pPr>
        <w:pStyle w:val="Heading1"/>
        <w:spacing w:after="130" w:before="280"/>
      </w:pPr>
      <w:r>
        <w:rPr>
          <w:rFonts w:ascii="Georgia" w:cs="Georgia" w:eastAsia="Georgia" w:hAnsi="Georgia"/>
          <w:b/>
          <w:bCs/>
          <w:color w:val="0F4C5C"/>
          <w:sz w:val="24"/>
          <w:szCs w:val="24"/>
        </w:rPr>
        <w:t xml:space="preserve">What the Table Exposes</w:t>
      </w:r>
    </w:p>
    <w:p>
      <w:pPr>
        <w:spacing w:after="130" w:line="288"/>
      </w:pPr>
      <w:r>
        <w:rPr>
          <w:rFonts w:ascii="Calibri" w:cs="Calibri" w:eastAsia="Calibri" w:hAnsi="Calibri"/>
          <w:b/>
          <w:bCs/>
          <w:i w:val="false"/>
          <w:iCs w:val="false"/>
          <w:color w:val="1A2332"/>
          <w:sz w:val="20"/>
          <w:szCs w:val="20"/>
        </w:rPr>
        <w:t xml:space="preserve">ACS has no model-invocation hook. </w:t>
      </w:r>
      <w:r>
        <w:rPr>
          <w:rFonts w:ascii="Calibri" w:cs="Calibri" w:eastAsia="Calibri" w:hAnsi="Calibri"/>
          <w:b w:val="false"/>
          <w:bCs w:val="false"/>
          <w:i w:val="false"/>
          <w:iCs w:val="false"/>
          <w:color w:val="1A2332"/>
          <w:sz w:val="20"/>
          <w:szCs w:val="20"/>
        </w:rPr>
        <w:t xml:space="preserve">OpenShell’s richest event is the inference call at API Activity [6003], carrying </w:t>
      </w:r>
      <w:r>
        <w:rPr>
          <w:rFonts w:ascii="Consolas" w:cs="Consolas" w:eastAsia="Consolas" w:hAnsi="Consolas"/>
          <w:b w:val="false"/>
          <w:bCs w:val="false"/>
          <w:i w:val="false"/>
          <w:iCs w:val="false"/>
          <w:color w:val="1A2332"/>
          <w:sz w:val="19"/>
          <w:szCs w:val="19"/>
        </w:rPr>
        <w:t xml:space="preserve">ai_model.name</w:t>
      </w:r>
      <w:r>
        <w:rPr>
          <w:rFonts w:ascii="Calibri" w:cs="Calibri" w:eastAsia="Calibri" w:hAnsi="Calibri"/>
          <w:b w:val="false"/>
          <w:bCs w:val="false"/>
          <w:i w:val="false"/>
          <w:iCs w:val="false"/>
          <w:color w:val="1A2332"/>
          <w:sz w:val="20"/>
          <w:szCs w:val="20"/>
        </w:rPr>
        <w:t xml:space="preserve"> and </w:t>
      </w:r>
      <w:r>
        <w:rPr>
          <w:rFonts w:ascii="Consolas" w:cs="Consolas" w:eastAsia="Consolas" w:hAnsi="Consolas"/>
          <w:b w:val="false"/>
          <w:bCs w:val="false"/>
          <w:i w:val="false"/>
          <w:iCs w:val="false"/>
          <w:color w:val="1A2332"/>
          <w:sz w:val="19"/>
          <w:szCs w:val="19"/>
        </w:rPr>
        <w:t xml:space="preserve">ai_model.ai_provider</w:t>
      </w:r>
      <w:r>
        <w:rPr>
          <w:rFonts w:ascii="Calibri" w:cs="Calibri" w:eastAsia="Calibri" w:hAnsi="Calibri"/>
          <w:b w:val="false"/>
          <w:bCs w:val="false"/>
          <w:i w:val="false"/>
          <w:iCs w:val="false"/>
          <w:color w:val="1A2332"/>
          <w:sz w:val="20"/>
          <w:szCs w:val="20"/>
        </w:rPr>
        <w:t xml:space="preserve"> under the </w:t>
      </w:r>
      <w:r>
        <w:rPr>
          <w:rFonts w:ascii="Consolas" w:cs="Consolas" w:eastAsia="Consolas" w:hAnsi="Consolas"/>
          <w:b w:val="false"/>
          <w:bCs w:val="false"/>
          <w:i w:val="false"/>
          <w:iCs w:val="false"/>
          <w:color w:val="1A2332"/>
          <w:sz w:val="19"/>
          <w:szCs w:val="19"/>
        </w:rPr>
        <w:t xml:space="preserve">ai_operation</w:t>
      </w:r>
      <w:r>
        <w:rPr>
          <w:rFonts w:ascii="Calibri" w:cs="Calibri" w:eastAsia="Calibri" w:hAnsi="Calibri"/>
          <w:b w:val="false"/>
          <w:bCs w:val="false"/>
          <w:i w:val="false"/>
          <w:iCs w:val="false"/>
          <w:color w:val="1A2332"/>
          <w:sz w:val="20"/>
          <w:szCs w:val="20"/>
        </w:rPr>
        <w:t xml:space="preserve"> profile. ACS v0.1.0 maps nothing there. A deployment running both gets model-call visibility from NVIDIA and none from us. That is a hole in the Trace pillar, and treating it as a scope decision would be a mistake.</w:t>
      </w:r>
    </w:p>
    <w:p>
      <w:pPr>
        <w:spacing w:after="130" w:line="288"/>
      </w:pPr>
      <w:r>
        <w:rPr>
          <w:rFonts w:ascii="Calibri" w:cs="Calibri" w:eastAsia="Calibri" w:hAnsi="Calibri"/>
          <w:b/>
          <w:bCs/>
          <w:i w:val="false"/>
          <w:iCs w:val="false"/>
          <w:color w:val="1A2332"/>
          <w:sz w:val="20"/>
          <w:szCs w:val="20"/>
        </w:rPr>
        <w:t xml:space="preserve">Tool calls collide on class UID. </w:t>
      </w:r>
      <w:r>
        <w:rPr>
          <w:rFonts w:ascii="Calibri" w:cs="Calibri" w:eastAsia="Calibri" w:hAnsi="Calibri"/>
          <w:b w:val="false"/>
          <w:bCs w:val="false"/>
          <w:i w:val="false"/>
          <w:iCs w:val="false"/>
          <w:color w:val="1A2332"/>
          <w:sz w:val="20"/>
          <w:szCs w:val="20"/>
        </w:rPr>
        <w:t xml:space="preserve">ACS binds </w:t>
      </w:r>
      <w:r>
        <w:rPr>
          <w:rFonts w:ascii="Consolas" w:cs="Consolas" w:eastAsia="Consolas" w:hAnsi="Consolas"/>
          <w:b w:val="false"/>
          <w:bCs w:val="false"/>
          <w:i w:val="false"/>
          <w:iCs w:val="false"/>
          <w:color w:val="1A2332"/>
          <w:sz w:val="19"/>
          <w:szCs w:val="19"/>
        </w:rPr>
        <w:t xml:space="preserve">steps/toolCallRequest</w:t>
      </w:r>
      <w:r>
        <w:rPr>
          <w:rFonts w:ascii="Calibri" w:cs="Calibri" w:eastAsia="Calibri" w:hAnsi="Calibri"/>
          <w:b w:val="false"/>
          <w:bCs w:val="false"/>
          <w:i w:val="false"/>
          <w:iCs w:val="false"/>
          <w:color w:val="1A2332"/>
          <w:sz w:val="20"/>
          <w:szCs w:val="20"/>
        </w:rPr>
        <w:t xml:space="preserve"> to Process Activity [1007]. A tool call that leaves the sandbox over HTTP surfaces in OpenShell as an HTTP event. Same action, two class UIDs, and the implementer picks one. That reconciliation belongs in an ACS deployment profile, because it only bites when OpenShell is underneath.</w:t>
      </w:r>
    </w:p>
    <w:p>
      <w:pPr>
        <w:spacing w:after="130" w:line="288"/>
      </w:pPr>
      <w:r>
        <w:rPr>
          <w:rFonts w:ascii="Calibri" w:cs="Calibri" w:eastAsia="Calibri" w:hAnsi="Calibri"/>
          <w:b/>
          <w:bCs/>
          <w:i w:val="false"/>
          <w:iCs w:val="false"/>
          <w:color w:val="1A2332"/>
          <w:sz w:val="20"/>
          <w:szCs w:val="20"/>
        </w:rPr>
        <w:t xml:space="preserve">NVIDIA scoped the audit seam for us. </w:t>
      </w:r>
      <w:r>
        <w:rPr>
          <w:rFonts w:ascii="Calibri" w:cs="Calibri" w:eastAsia="Calibri" w:hAnsi="Calibri"/>
          <w:b w:val="false"/>
          <w:bCs w:val="false"/>
          <w:i w:val="false"/>
          <w:iCs w:val="false"/>
          <w:color w:val="1A2332"/>
          <w:sz w:val="20"/>
          <w:szCs w:val="20"/>
        </w:rPr>
        <w:t xml:space="preserve">OpenShell issue #2745 proposes an evidence bundle carrying the effective policy, sandbox identity, event bytes and a completeness flag, and states that OpenShell should supply authoritative evidence without implementing signing or conformance logic. That is the ACS-Audit and ACS-Crypto boundary, described by NVIDIA in NVIDIA’s own words. An external adapter is already shipping against it on PyPI.</w:t>
      </w:r>
    </w:p>
    <w:p>
      <w:pPr>
        <w:pStyle w:val="Heading1"/>
        <w:spacing w:after="130" w:before="280"/>
      </w:pPr>
      <w:r>
        <w:rPr>
          <w:rFonts w:ascii="Georgia" w:cs="Georgia" w:eastAsia="Georgia" w:hAnsi="Georgia"/>
          <w:b/>
          <w:bCs/>
          <w:color w:val="0F4C5C"/>
          <w:sz w:val="24"/>
          <w:szCs w:val="24"/>
        </w:rPr>
        <w:t xml:space="preserve">Status and Next Moves</w:t>
      </w:r>
    </w:p>
    <w:p>
      <w:pPr>
        <w:spacing w:after="130" w:line="288"/>
      </w:pPr>
      <w:r>
        <w:rPr>
          <w:rFonts w:ascii="Calibri" w:cs="Calibri" w:eastAsia="Calibri" w:hAnsi="Calibri"/>
          <w:b/>
          <w:bCs/>
          <w:i w:val="false"/>
          <w:iCs w:val="false"/>
          <w:color w:val="1A2332"/>
          <w:sz w:val="20"/>
          <w:szCs w:val="20"/>
        </w:rPr>
        <w:t xml:space="preserve">Filed today. </w:t>
      </w:r>
      <w:r>
        <w:rPr>
          <w:rFonts w:ascii="Calibri" w:cs="Calibri" w:eastAsia="Calibri" w:hAnsi="Calibri"/>
          <w:b w:val="false"/>
          <w:bCs w:val="false"/>
          <w:i w:val="false"/>
          <w:iCs w:val="false"/>
          <w:color w:val="1A2332"/>
          <w:sz w:val="20"/>
          <w:szCs w:val="20"/>
        </w:rPr>
        <w:t xml:space="preserve">Issue #402 is open on </w:t>
      </w:r>
      <w:r>
        <w:rPr>
          <w:rFonts w:ascii="Consolas" w:cs="Consolas" w:eastAsia="Consolas" w:hAnsi="Consolas"/>
          <w:b w:val="false"/>
          <w:bCs w:val="false"/>
          <w:i w:val="false"/>
          <w:iCs w:val="false"/>
          <w:color w:val="1A2332"/>
          <w:sz w:val="19"/>
          <w:szCs w:val="19"/>
        </w:rPr>
        <w:t xml:space="preserve">NVIDIA-NeMo/labs-OO-Agents</w:t>
      </w:r>
      <w:r>
        <w:rPr>
          <w:rFonts w:ascii="Calibri" w:cs="Calibri" w:eastAsia="Calibri" w:hAnsi="Calibri"/>
          <w:b w:val="false"/>
          <w:bCs w:val="false"/>
          <w:i w:val="false"/>
          <w:iCs w:val="false"/>
          <w:color w:val="1A2332"/>
          <w:sz w:val="20"/>
          <w:szCs w:val="20"/>
        </w:rPr>
        <w:t xml:space="preserve">, proposing an ACS deployment profile for NOOA-on-OpenShell and asking NVIDIA to confirm the OpenShell process-event class UID. It runs as a companion to issue #394, an unprompted community proposal for ACS instrumentation in NOOA filed September 26, which carries no assignee and no maintainer response. Credit to whoever wrote it, because they got the Guardian role and the ACP-to-ACS split right off a cold read of the spec. Both threads now cross-reference each other.</w:t>
      </w:r>
    </w:p>
    <w:p>
      <w:pPr>
        <w:spacing w:after="130" w:line="288"/>
      </w:pPr>
      <w:r>
        <w:rPr>
          <w:rFonts w:ascii="Calibri" w:cs="Calibri" w:eastAsia="Calibri" w:hAnsi="Calibri"/>
          <w:b w:val="false"/>
          <w:bCs w:val="false"/>
          <w:i w:val="false"/>
          <w:iCs w:val="false"/>
          <w:color w:val="1A2332"/>
          <w:sz w:val="20"/>
          <w:szCs w:val="20"/>
        </w:rPr>
        <w:t xml:space="preserve">Before the next NVIDIA conversation, close issue #184 and the fail-open default. </w:t>
      </w:r>
      <w:r>
        <w:rPr>
          <w:rFonts w:ascii="Calibri" w:cs="Calibri" w:eastAsia="Calibri" w:hAnsi="Calibri"/>
          <w:b w:val="false"/>
          <w:bCs w:val="false"/>
          <w:i w:val="false"/>
          <w:iCs w:val="false"/>
          <w:color w:val="1A2332"/>
          <w:sz w:val="20"/>
          <w:szCs w:val="20"/>
        </w:rPr>
        <w:t xml:space="preserve">The first NVIDIA engineer to read the reference Guardian will find both, and an unauthenticated wire undercuts every argument on this page. One sprint buys the right to be in the room. Then publish this mapping as a Trace workstream discussion and open ACS issues for the model-invocation hook and the skill-hook gap. Separately, decide on OSAIA: ACS goes under the Linux Foundation tent, or the project commits hard to OWASP and accepts that NVIDIA’s coalition owns the neutrality narrative. Straddling both loses.</w:t>
      </w:r>
    </w:p>
    <w:p>
      <w:pPr>
        <w:pBdr>
          <w:top w:val="single" w:color="C8D2D8" w:sz="4" w:space="8"/>
        </w:pBdr>
        <w:spacing w:before="200"/>
      </w:pPr>
      <w:r>
        <w:rPr>
          <w:rFonts w:ascii="Calibri" w:cs="Calibri" w:eastAsia="Calibri" w:hAnsi="Calibri"/>
          <w:i/>
          <w:iCs/>
          <w:color w:val="5A6875"/>
          <w:sz w:val="17"/>
          <w:szCs w:val="17"/>
        </w:rPr>
        <w:t xml:space="preserve">Verified 2026-09-29 against agent-control-standard at commit 27799c2 (branch integration) and NVIDIA’s OpenShell docs and trackers. One claim is unconfirmed: OpenShell’s process-event class UID is inferred from the PROC: shorthand, and is question 2 in issue #402.</w:t>
      </w:r>
    </w:p>
    <w:sectPr>
      <w:pgSz w:w="12240" w:h="15840" w:orient="portrait"/>
      <w:pgMar w:top="920" w:right="1000" w:bottom="86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2026-09-29T10:32:02.801Z</dcterms:created>
  <dcterms:modified xsi:type="dcterms:W3CDTF">2026-09-29T10:32:02.813Z</dcterms:modified>
</cp:coreProperties>
</file>

<file path=docProps/custom.xml><?xml version="1.0" encoding="utf-8"?>
<Properties xmlns="http://schemas.openxmlformats.org/officeDocument/2006/custom-properties" xmlns:vt="http://schemas.openxmlformats.org/officeDocument/2006/docPropsVTypes"/>
</file>