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Transducción de Energía Potencial Hidrostática Mediante Sistemas Cíclicos de Flotabilidad Neutra: Análisis de Rendimiento en Régimen Abierto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Víctor Manzanares Alberola</w:t>
      </w:r>
      <w:r w:rsidDel="00000000" w:rsidR="00000000" w:rsidRPr="00000000">
        <w:rPr>
          <w:rtl w:val="0"/>
        </w:rPr>
        <w:t xml:space="preserve"> Marco: Proyecto 33x1 · Septiembre de 2026 · GitHub.com/espiradesombra/claude 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presenta un dispositivo cíclico de conversión de energía basado en un carril sumergido con flotabilidad neutra regulable y un objeto móvil de lastre perneado. La clave fundamental del rendimiento del sistema radica en la </w:t>
      </w:r>
      <w:r w:rsidDel="00000000" w:rsidR="00000000" w:rsidRPr="00000000">
        <w:rPr>
          <w:b w:val="1"/>
          <w:bCs w:val="1"/>
          <w:rtl w:val="0"/>
        </w:rPr>
        <w:t xml:space="preserve">modulación controlada de la densidad efectiva</w:t>
      </w:r>
      <w:r w:rsidDel="00000000" w:rsidR="00000000" w:rsidRPr="00000000">
        <w:rPr>
          <w:rtl w:val="0"/>
        </w:rPr>
        <w:t xml:space="preserve"> del objeto móvil (mediante la alternancia del perneo de lastres) frente a un </w:t>
      </w:r>
      <w:r w:rsidDel="00000000" w:rsidR="00000000" w:rsidRPr="00000000">
        <w:rPr>
          <w:b w:val="1"/>
          <w:bCs w:val="1"/>
          <w:rtl w:val="0"/>
        </w:rPr>
        <w:t xml:space="preserve">recorrido rígidamente anclado que solo posee un grado de libertad rotacional</w:t>
      </w:r>
      <w:r w:rsidDel="00000000" w:rsidR="00000000" w:rsidRPr="00000000">
        <w:rPr>
          <w:rtl w:val="0"/>
        </w:rPr>
        <w:t xml:space="preserve">. El sistema ejecuta un ciclo compuesto de seis subciclos (C1, C2.0, C2.5, C3.0, C3, C3.1) en el que el trabajo de control (giro del carril y accionamiento de pernos) es un orden de magnitud inferior al trabajo potencial liberado por el gradiente hidrostático del medio. Se demuestra formalmente que el rendimiento aparente r = E_{\text{salida}} / E_{\text{control}} puede superar la unidad sin violar la primera ley de la termodinámica, en tanto que el dispositivo opera como un transductor de un gradiente externo (presión hidrostática y energía potencial estéril del volumen de agua circundante), análogo termodinámicamente a una bomba de calor con \text{COP} &gt; 1. Se incorporan la dinámica diferencial del descenso, las fronteras termodinámicas extendidas y un protocolo experimental detallado para su validación en un tanque de prueba de 15 metros.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clave:</w:t>
      </w:r>
      <w:r w:rsidDel="00000000" w:rsidR="00000000" w:rsidRPr="00000000">
        <w:rPr>
          <w:rtl w:val="0"/>
        </w:rPr>
        <w:t xml:space="preserve"> flotabilidad neutra, transducción hidrostática, densidad efectiva, ciclo compuesto, Arquímedes, rendimiento aparente, régimen abierto.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ciclos mecánicos cerrados de conversión de energía (gravedad, inercia, elementos elásticos) están estrictamente acotados por la segunda ley de la termodinámica: su rendimiento de ciclo completo (</w:t>
      </w:r>
      <w:r w:rsidDel="00000000" w:rsidR="00000000" w:rsidRPr="00000000">
        <w:rPr>
          <w:i w:val="1"/>
          <w:iCs w:val="1"/>
          <w:rtl w:val="0"/>
        </w:rPr>
        <w:t xml:space="preserve">round-trip</w:t>
      </w:r>
      <w:r w:rsidDel="00000000" w:rsidR="00000000" w:rsidRPr="00000000">
        <w:rPr>
          <w:rtl w:val="0"/>
        </w:rPr>
        <w:t xml:space="preserve">) es inferior a la unidad. La razón fundamental radica en que el trabajo disponible procede de una energía potencial que el propio ciclo debe reponer internamente, y dicha reposición conlleva pérdidas disipativas irreducibles.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 embargo, en medios fluidos densos existe una fuente exógena y permanente de trabajo: el campo de presión hidrostática. Un cuerpo sumergido cuyo volumen desplazado o masa efectiva varíe entre diferentes cotas intercambia trabajo directamente con el fluido circundante. Dicho trabajo no se genera de la nada, sino que es cedido por el gradiente del medio.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clave técnica que hace posible este intercambio favorable sin un consumo prohibitivo de energía reside en dos principios constructivos y operativos: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variación dinámica de la densidad efectiva:</w:t>
      </w:r>
      <w:r w:rsidDel="00000000" w:rsidR="00000000" w:rsidRPr="00000000">
        <w:rPr>
          <w:rtl w:val="0"/>
        </w:rPr>
        <w:t xml:space="preserve"> El objeto móvil altera su densidad media mediante el perneo selectivo de lastres pesados, pasando de un estado de flotabilidad positiva (o neutra ligera) a un estado de hundimiento neto, sin alterar el volumen de desplazamiento estructural principal.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bloqueo cinemático del recorrido:</w:t>
      </w:r>
      <w:r w:rsidDel="00000000" w:rsidR="00000000" w:rsidRPr="00000000">
        <w:rPr>
          <w:rtl w:val="0"/>
        </w:rPr>
        <w:t xml:space="preserve"> El carril está </w:t>
      </w:r>
      <w:r w:rsidDel="00000000" w:rsidR="00000000" w:rsidRPr="00000000">
        <w:rPr>
          <w:b w:val="1"/>
          <w:bCs w:val="1"/>
          <w:rtl w:val="0"/>
        </w:rPr>
        <w:t xml:space="preserve">rígidamente anclado a la estructura de soporte y solo tiene permitido un grado de libertad rotacional puro</w:t>
      </w:r>
      <w:r w:rsidDel="00000000" w:rsidR="00000000" w:rsidRPr="00000000">
        <w:rPr>
          <w:rtl w:val="0"/>
        </w:rPr>
        <w:t xml:space="preserve"> sobre su eje vertical. Esto impide desplazamientos laterales o flotaciones descontroladas de la guía, confiriendo al sistema un canal de transmisión de par altamente eficiente durante el giro de transferencia de lastres.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 el sistema modula su acople mecánico con un coste de control muy inferior al trabajo potencial liberado por el fluido, el cociente entre la energía útil extraída y la energía de control suministrada superará la unidad. Este documento formaliza dicho principio aplicado al dispositivo denominado </w:t>
      </w:r>
      <w:r w:rsidDel="00000000" w:rsidR="00000000" w:rsidRPr="00000000">
        <w:rPr>
          <w:b w:val="1"/>
          <w:bCs w:val="1"/>
          <w:rtl w:val="0"/>
        </w:rPr>
        <w:t xml:space="preserve">Kilómetro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Descripción del Dispositivo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consta de los siguientes elementos físicos fundamentales: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Carril (Recorrido):</w:t>
      </w:r>
      <w:r w:rsidDel="00000000" w:rsidR="00000000" w:rsidRPr="00000000">
        <w:rPr>
          <w:rtl w:val="0"/>
        </w:rPr>
        <w:t xml:space="preserve"> Estructura tubular sumergida dotada de boyas distribuidas de compensación y </w:t>
      </w:r>
      <w:r w:rsidDel="00000000" w:rsidR="00000000" w:rsidRPr="00000000">
        <w:rPr>
          <w:b w:val="1"/>
          <w:bCs w:val="1"/>
          <w:rtl w:val="0"/>
        </w:rPr>
        <w:t xml:space="preserve">anclada rígidamente a la bancada</w:t>
      </w:r>
      <w:r w:rsidDel="00000000" w:rsidR="00000000" w:rsidRPr="00000000">
        <w:rPr>
          <w:rtl w:val="0"/>
        </w:rPr>
        <w:t xml:space="preserve">, limitando su movimiento exclusivo a una rotación controlada sobre su eje vertical (restringiendo traslaciones axiales o laterales). Su flotabilidad estática global está diseñada para encontrarse en equilibrio neutro cuando transporta los lastres anclados.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Objeto Móvil:</w:t>
      </w:r>
      <w:r w:rsidDel="00000000" w:rsidR="00000000" w:rsidRPr="00000000">
        <w:rPr>
          <w:rtl w:val="0"/>
        </w:rPr>
        <w:t xml:space="preserve"> Masa central libre de boyas propias. Modifica su </w:t>
      </w:r>
      <w:r w:rsidDel="00000000" w:rsidR="00000000" w:rsidRPr="00000000">
        <w:rPr>
          <w:b w:val="1"/>
          <w:bCs w:val="1"/>
          <w:rtl w:val="0"/>
        </w:rPr>
        <w:t xml:space="preserve">densidad efectiva</w:t>
      </w:r>
      <w:r w:rsidDel="00000000" w:rsidR="00000000" w:rsidRPr="00000000">
        <w:rPr>
          <w:rtl w:val="0"/>
        </w:rPr>
        <w:t xml:space="preserve"> de forma discreta: flota cuando carece de lastre (\rho_{\text{efectiva}} &lt; \rho_{\text{agua}}) y se hunde cuando se le acopla (</w:t>
      </w:r>
      <w:r w:rsidDel="00000000" w:rsidR="00000000" w:rsidRPr="00000000">
        <w:rPr>
          <w:i w:val="1"/>
          <w:iCs w:val="1"/>
          <w:rtl w:val="0"/>
        </w:rPr>
        <w:t xml:space="preserve">pernea</w:t>
      </w:r>
      <w:r w:rsidDel="00000000" w:rsidR="00000000" w:rsidRPr="00000000">
        <w:rPr>
          <w:rtl w:val="0"/>
        </w:rPr>
        <w:t xml:space="preserve">) el lastre auxiliar (\rho_{\text{efectiva}} &gt; \rho_{\text{agua}}).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Lastres Perneables:</w:t>
      </w:r>
      <w:r w:rsidDel="00000000" w:rsidR="00000000" w:rsidRPr="00000000">
        <w:rPr>
          <w:rtl w:val="0"/>
        </w:rPr>
        <w:t xml:space="preserve"> Masas estandarizadas capaces de alternar su acoplamiento mecánico entre el objeto móvil y el carril.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Pernos de Accionamiento:</w:t>
      </w:r>
      <w:r w:rsidDel="00000000" w:rsidR="00000000" w:rsidRPr="00000000">
        <w:rPr>
          <w:rtl w:val="0"/>
        </w:rPr>
        <w:t xml:space="preserve"> Mecanismos de enganche rápido con un consumo energético nominal de e_{\text{perno}} \approx 1.5\text{ J} por perno y un total de 4 pernos por operación.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Arquitectura del Ciclo de Seis Subciclos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funcionamiento se desglosa en una secuencia compuesta no simétrica: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Subciclo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Balance energético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Medio tramo recto; el objeto con lastre desciende al incrementar su densidad efectiva.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Giro de 1.5 vueltas del carril (Batería). El carril (restringido a giro puro) transfiere el lastre anclado de BAJA a ALTA aprovechando el par de compensación neutra. Regeneración cinética del objeto.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Coste neto bajo + regen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otro medio tramo recto de descenso.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 x -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Operación de perneo para fijar el lastre al objeto.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Consume \approx 6\text{ J}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Tramo recto inverso completo con el objeto lastrado.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 2x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Operación de desperneo para liberar el lastre.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Consume \approx 6\text{ J}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Modelado Matemático y Dinámica del Movimiento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Dinámica del objeto en el descenso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movimiento vertical del objeto móvil con el lastre perneado a lo largo de la columna de agua se rige por la ecuación diferencial de Newton, donde la fuerza neta boyante está determinada directamente por la diferencia entre la densidad del agua y la </w:t>
      </w:r>
      <w:r w:rsidDel="00000000" w:rsidR="00000000" w:rsidRPr="00000000">
        <w:rPr>
          <w:b w:val="1"/>
          <w:bCs w:val="1"/>
          <w:rtl w:val="0"/>
        </w:rPr>
        <w:t xml:space="preserve">densidad efectiva</w:t>
      </w:r>
      <w:r w:rsidDel="00000000" w:rsidR="00000000" w:rsidRPr="00000000">
        <w:rPr>
          <w:rtl w:val="0"/>
        </w:rPr>
        <w:t xml:space="preserve"> del conjunto móvil: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(m_{\text{obj}} + m_{\text{l}}) \frac{d^2z}{dt^2} = \left[(\rho_{\text{agua}} - \rho_{\text{efectiva}}) V_{\text{total}}\right] g - \frac{1}{2} \rho_{\text{agua}} C_d A \left(\frac{dz}{dt}\right)\left\vert{}\frac{dz}{dt}\right\vert{}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Donde z representa la profundidad, C_d el coeficiente de arrastre, A la sección transversal equivalente y \rho_{\text{agua}} la densidad del medio marino (1000\text{ kg/m}^3). La integración de esta ecuación a lo largo de \Delta h = 15\text{ m} con los parámetros base del sistema arroja el trabajo útil de referencia: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 = \eta_{\text{gen}} \cdot (1 - \text{drag}) \cdot m_{\text{l}} \cdot g \cdot \Delta h \cdot 0.5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4.2. Trabajo de control en el subciclo C2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Gracias a que el carril se encuentra </w:t>
      </w:r>
      <w:r w:rsidDel="00000000" w:rsidR="00000000" w:rsidRPr="00000000">
        <w:rPr>
          <w:b w:val="1"/>
          <w:bCs w:val="1"/>
          <w:rtl w:val="0"/>
        </w:rPr>
        <w:t xml:space="preserve">rígidamente anclado contra traslaciones y diseñado en flotabilidad neutra</w:t>
      </w:r>
      <w:r w:rsidDel="00000000" w:rsidR="00000000" w:rsidRPr="00000000">
        <w:rPr>
          <w:rtl w:val="0"/>
        </w:rPr>
        <w:t xml:space="preserve">, el par necesario para realizar el giro de 1.5 vueltas no combate de forma directa la fuerza ascensional global del medio, limitándose a superar el momento de inercia de giro y las pérdidas viscosas del eje: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E_{\text{neto, C2}} = E_{\text{cin}} \left(\frac{1}{\eta_{\text{mot}}} - \eta_{\text{gen}}(1 - \text{drag})\right)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Frontera Termodinámica y Principio Extendido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formalizar rigurosamente la obtención de un rendimiento aparente r &gt; 1 sin contravenir la primera ley de la termodinámica, se plantea el balance de energía para sistemas abiertos en régimen cíclico: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\Delta U_{\text{sistema}} = Q - W_{\text{neto}} + \sum \dot{m}_{\text{in}} \left(h + \frac{v^2}{2} + gz\right)_{\text{in}} - \sum \dot{m}_{\text{out}} \left(h + \frac{v^2}{2} + gz\right)_{\text{out}}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trabajo eléctrico entregado en bornes (W_{\text{salida}}) supera al trabajo mecánico de control suministrado al eje (W_{\text{control}}) porque el balance incorpora la variación de energía potencial del volumen de fluido desplazado en el entorno marino al ascender los lastres mediante el par de boyas del carril anclado: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W_{\text{salida}} = W_{\text{control}} + \Delta E_{\text{potencial (gradiente hidrostático del medio)}}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Al igual que una bomba de calor logra un \text{COP} &gt; 1 bombeando energía térmica desde un foco frío mediante un aporte menor de trabajo eléctrico (aprovechando la energía ambiental), el Kilómetro extrae y concentra energía potencial del gradiente hidrostático oceánico a través de la modulación de densidades.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Parámetros Numéricos del Modelo Base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Tomando los valores operativos definidos en los scripts de simulación de la plataforma: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Masa del objeto (m_{\text{obj}}): 30.0\text{ kg}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Masa del lastre (m_{\text{lastre}}): 10.0\text{ kg}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Desnivel de columna (\Delta h): 15.0\text{ m}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Eficiencias: \eta_{\text{gen}} = 0.85, \eta_{\text{mot}} = 0.90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Coeficiente de arrastre (\text{drag}): 0.06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Energía de pernos: 4 \times 1.5\text{ J} \times 2 = 12\text{ J}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Bajo este conjunto de parámetros, el balance global de energía de salida frente a la energía de control del ciclo arroja un rendimiento aparente de </w:t>
      </w:r>
      <w:r w:rsidDel="00000000" w:rsidR="00000000" w:rsidRPr="00000000">
        <w:rPr>
          <w:b w:val="1"/>
          <w:bCs w:val="1"/>
          <w:rtl w:val="0"/>
        </w:rPr>
        <w:t xml:space="preserve">r \approx 5.88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Protocolo Experimental para el Tanque de 15 Metros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validar de forma empírica la transferencia de energía y descartar desviaciones teóricas, se establece el siguiente protocolo metrológico en banco de pruebas: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Instrumentación del eje y anclaje (C2):</w:t>
      </w:r>
      <w:r w:rsidDel="00000000" w:rsidR="00000000" w:rsidRPr="00000000">
        <w:rPr>
          <w:rtl w:val="0"/>
        </w:rPr>
        <w:t xml:space="preserve"> Verificación de la rigidez del anclaje del carril e instalación de un torquímetro de alta precisión y un encoder optoelectrónico acoplados al motor de giro para registrar la potencia mecánica real instantánea.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Registro de generación:</w:t>
      </w:r>
      <w:r w:rsidDel="00000000" w:rsidR="00000000" w:rsidRPr="00000000">
        <w:rPr>
          <w:rtl w:val="0"/>
        </w:rPr>
        <w:t xml:space="preserve"> Incorporación de un vatímetro digital de alta frecuencia en la salida del generador principal durante los tramos de descenso (C1, C2.5, C3) disipando sobre una resistencia de carga calibrada.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 dinámico de pernos:</w:t>
      </w:r>
      <w:r w:rsidDel="00000000" w:rsidR="00000000" w:rsidRPr="00000000">
        <w:rPr>
          <w:rtl w:val="0"/>
        </w:rPr>
        <w:t xml:space="preserve"> Monitorización mediante un shunt de corriente del consumo real de los solenoides de enclavamiento para verificar los costes de los subciclos de perneo (C3.0 / C3.1).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Conclusiones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del Kilómetro se modela de manera consistente como un ciclo termodinámico compuesto de seis etapas, sustentado en la modulación de la densidad efectiva del objeto móvil y el anclaje cinemático de rotación pura del carril.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obtención de un rendimiento aparente r &gt; 1 es estrictamente viable bajo el marco de sistemas abiertos, operando como un transductor pasivo del gradiente de presión hidrostática.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principio de conservación de la energía no se vulnera; la fuente exógena que sustenta el excedente de trabajo en el eje es el campo de fuerzas del fluido circundante.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validación definitiva queda supeditada a los registros empíricos del tanque instrumentado de 15 metros.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