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0F6E6E"/>
          <w:sz w:val="36"/>
          <w:szCs w:val="36"/>
        </w:rPr>
        <w:t xml:space="preserve">Cotización: MVP de landing page y agenda de citas para consultorio dental</w:t>
      </w:r>
    </w:p>
    <w:p>
      <w:pPr>
        <w:spacing w:after="2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Vanguard-IA · Cotización No. COT-002-2026 · Fecha: 09/10/2026</w:t>
      </w:r>
    </w:p>
    <w:p>
      <w:pPr>
        <w:pStyle w:val="Heading1"/>
      </w:pPr>
      <w:r>
        <w:rPr>
          <w:rFonts w:ascii="Arial" w:cs="Arial" w:eastAsia="Arial" w:hAnsi="Arial"/>
        </w:rPr>
        <w:t xml:space="preserve">Parte 1. WBS y estimación</w:t>
      </w:r>
    </w:p>
    <w:p>
      <w:pPr>
        <w:pStyle w:val="Heading2"/>
      </w:pPr>
      <w:r>
        <w:rPr>
          <w:rFonts w:ascii="Arial" w:cs="Arial" w:eastAsia="Arial" w:hAnsi="Arial"/>
        </w:rPr>
        <w:t xml:space="preserve">Estructura de desglose del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D5EC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Paquete</w:t>
            </w:r>
          </w:p>
        </w:tc>
        <w:tc>
          <w:tcPr>
            <w:tcW w:type="dxa" w:w="64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D5EC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Subtareas</w:t>
            </w:r>
          </w:p>
        </w:tc>
      </w:tr>
      <w:tr>
        <w:tc>
          <w:tcPr>
            <w:tcW w:type="dxa" w:w="29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Análisis y diseño</w:t>
            </w:r>
          </w:p>
        </w:tc>
        <w:tc>
          <w:tcPr>
            <w:tcW w:type="dxa" w:w="64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 Levantamiento de requerimientos · 1.2 Modelo de datos y arquitectura · 1.3 Diseño de interfaz sencilla (landing y panel de citas)</w:t>
            </w:r>
          </w:p>
        </w:tc>
      </w:tr>
      <w:tr>
        <w:tc>
          <w:tcPr>
            <w:tcW w:type="dxa" w:w="29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Laravel y autenticación</w:t>
            </w:r>
          </w:p>
        </w:tc>
        <w:tc>
          <w:tcPr>
            <w:tcW w:type="dxa" w:w="64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 Configuración del proyecto y base de datos · 2.2 Inicio de sesión único de la doctora · 2.3 Roles y permisos (Doctora administradora; registro público deshabilitado)</w:t>
            </w:r>
          </w:p>
        </w:tc>
      </w:tr>
      <w:tr>
        <w:tc>
          <w:tcPr>
            <w:tcW w:type="dxa" w:w="29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Landing page y presencia en línea</w:t>
            </w:r>
          </w:p>
        </w:tc>
        <w:tc>
          <w:tcPr>
            <w:tcW w:type="dxa" w:w="64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 Diseño y maquetación responsive · 3.2 Secciones de servicios, motivos para elegir el consultorio y contacto · 3.3 Botón de WhatsApp, mapa de ubicación y SEO básico</w:t>
            </w:r>
          </w:p>
        </w:tc>
      </w:tr>
      <w:tr>
        <w:tc>
          <w:tcPr>
            <w:tcW w:type="dxa" w:w="29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Citas (CRUD) y agenda</w:t>
            </w:r>
          </w:p>
        </w:tc>
        <w:tc>
          <w:tcPr>
            <w:tcW w:type="dxa" w:w="64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 CRUD de citas (alta, consulta, edición y baja) · 4.2 Búsqueda y filtros por paciente, teléfono y estado · 4.3 Carga inicial desde la agenda manual u hojas de cálculo</w:t>
            </w:r>
          </w:p>
        </w:tc>
      </w:tr>
      <w:tr>
        <w:tc>
          <w:tcPr>
            <w:tcW w:type="dxa" w:w="29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Estados de cita y validaciones</w:t>
            </w:r>
          </w:p>
        </w:tc>
        <w:tc>
          <w:tcPr>
            <w:tcW w:type="dxa" w:w="64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5.1 Registro de estados (pendiente, confirmada, completada, cancelada) · 5.2 Lógica de disponibilidad de horarios · 5.3 Asignación de servicio por cita · 5.4 Validación de empalmes y fechas inválidas</w:t>
            </w:r>
          </w:p>
        </w:tc>
      </w:tr>
      <w:tr>
        <w:tc>
          <w:tcPr>
            <w:tcW w:type="dxa" w:w="29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Reportes, despliegue y documentación</w:t>
            </w:r>
          </w:p>
        </w:tc>
        <w:tc>
          <w:tcPr>
            <w:tcW w:type="dxa" w:w="64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 Alerta de citas próximas · 6.2 Reporte de citas por periodo, servicio y estado · 6.3 Pruebas integrales del MVP · 6.4 Despliegue en servidor · 6.5 Manual de usuario y documentación técnica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Estimación PERT por paquete</w:t>
      </w:r>
    </w:p>
    <w:p>
      <w:pPr>
        <w:keepNext/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MVP requiere 127.6 horas (116 h PERT más 11.6 h de contingencia), el 59% de la capacidad útil de 216 h del equipo en 8 semanas.</w:t>
      </w:r>
    </w:p>
    <w:p>
      <w:pPr>
        <w:keepNext/>
        <w:spacing w:after="160" w:before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PERT = (O + 4M + P) /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450"/>
        <w:gridCol w:w="1450"/>
        <w:gridCol w:w="1450"/>
        <w:gridCol w:w="1450"/>
      </w:tblGrid>
      <w:tr>
        <w:trPr>
          <w:tblHeader/>
        </w:trPr>
        <w:tc>
          <w:tcPr>
            <w:tcW w:type="dxa" w:w="35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D5EC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Paquete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D5EC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Optimista (O)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D5EC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Más probable (M)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D5EC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Pesimista (P)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D5EC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PERT (h)</w:t>
            </w:r>
          </w:p>
        </w:tc>
      </w:tr>
      <w:tr>
        <w:tc>
          <w:tcPr>
            <w:tcW w:type="dxa" w:w="35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Análisis y diseño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</w:t>
            </w:r>
          </w:p>
        </w:tc>
      </w:tr>
      <w:tr>
        <w:tc>
          <w:tcPr>
            <w:tcW w:type="dxa" w:w="35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Laravel y autenticación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</w:t>
            </w:r>
          </w:p>
        </w:tc>
      </w:tr>
      <w:tr>
        <w:tc>
          <w:tcPr>
            <w:tcW w:type="dxa" w:w="35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Landing page y presencia en línea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22.0</w:t>
            </w:r>
          </w:p>
        </w:tc>
      </w:tr>
      <w:tr>
        <w:tc>
          <w:tcPr>
            <w:tcW w:type="dxa" w:w="35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Citas (CRUD) y agenda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28.0</w:t>
            </w:r>
          </w:p>
        </w:tc>
      </w:tr>
      <w:tr>
        <w:tc>
          <w:tcPr>
            <w:tcW w:type="dxa" w:w="35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Estados de cita y validaciones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18.0</w:t>
            </w:r>
          </w:p>
        </w:tc>
      </w:tr>
      <w:tr>
        <w:tc>
          <w:tcPr>
            <w:tcW w:type="dxa" w:w="35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Reportes, despliegue y documentación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24.0</w:t>
            </w:r>
          </w:p>
        </w:tc>
      </w:tr>
      <w:tr>
        <w:tc>
          <w:tcPr>
            <w:tcW w:type="dxa" w:w="35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116.0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Distribución por rol (horas PERT)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500"/>
        <w:gridCol w:w="2160"/>
        <w:gridCol w:w="1500"/>
      </w:tblGrid>
      <w:tr>
        <w:trPr>
          <w:tblHeader/>
        </w:trPr>
        <w:tc>
          <w:tcPr>
            <w:tcW w:type="dxa" w:w="27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D5EC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Paquete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D5EC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Líder de proyecto y backend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D5EC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y diseño UI</w:t>
            </w:r>
          </w:p>
        </w:tc>
        <w:tc>
          <w:tcPr>
            <w:tcW w:type="dxa" w:w="21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D5EC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QA, despliegue y documentación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D5EC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7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Análisis y diseño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7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Laravel y autenticación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7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Landing page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1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27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Citas (CRUD) y agenda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1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27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Estados y validaciones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7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Reportes, despliegue y documentación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27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47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W w:type="dxa" w:w="21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116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Costos y precio</w:t>
      </w:r>
    </w:p>
    <w:p>
      <w:pPr>
        <w:keepNext/>
        <w:spacing w:after="160" w:before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Precio = Costo total / (1 − margen)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00"/>
        <w:gridCol w:w="1660"/>
      </w:tblGrid>
      <w:tr>
        <w:trPr>
          <w:tblHeader/>
        </w:trPr>
        <w:tc>
          <w:tcPr>
            <w:tcW w:type="dxa" w:w="2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D5EC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Concepto</w:t>
            </w:r>
          </w:p>
        </w:tc>
        <w:tc>
          <w:tcPr>
            <w:tcW w:type="dxa" w:w="52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D5EC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Cálculo</w:t>
            </w:r>
          </w:p>
        </w:tc>
        <w:tc>
          <w:tcPr>
            <w:tcW w:type="dxa" w:w="16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shd w:fill="D5EC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Horas PERT</w:t>
            </w:r>
          </w:p>
        </w:tc>
        <w:tc>
          <w:tcPr>
            <w:tcW w:type="dxa" w:w="52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Suma de los seis paquetes</w:t>
            </w:r>
          </w:p>
        </w:tc>
        <w:tc>
          <w:tcPr>
            <w:tcW w:type="dxa" w:w="16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116 h</w:t>
            </w:r>
          </w:p>
        </w:tc>
      </w:tr>
      <w:tr>
        <w:tc>
          <w:tcPr>
            <w:tcW w:type="dxa" w:w="2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Contingencia (10%)</w:t>
            </w:r>
          </w:p>
        </w:tc>
        <w:tc>
          <w:tcPr>
            <w:tcW w:type="dxa" w:w="52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116 × 0.10</w:t>
            </w:r>
          </w:p>
        </w:tc>
        <w:tc>
          <w:tcPr>
            <w:tcW w:type="dxa" w:w="16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11.6 h</w:t>
            </w:r>
          </w:p>
        </w:tc>
      </w:tr>
      <w:tr>
        <w:tc>
          <w:tcPr>
            <w:tcW w:type="dxa" w:w="2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Horas totales</w:t>
            </w:r>
          </w:p>
        </w:tc>
        <w:tc>
          <w:tcPr>
            <w:tcW w:type="dxa" w:w="52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116 + 11.6</w:t>
            </w:r>
          </w:p>
        </w:tc>
        <w:tc>
          <w:tcPr>
            <w:tcW w:type="dxa" w:w="16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127.6 h</w:t>
            </w:r>
          </w:p>
        </w:tc>
      </w:tr>
      <w:tr>
        <w:tc>
          <w:tcPr>
            <w:tcW w:type="dxa" w:w="2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Capacidad útil</w:t>
            </w:r>
          </w:p>
        </w:tc>
        <w:tc>
          <w:tcPr>
            <w:tcW w:type="dxa" w:w="52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integrantes × 12 h × 8 semanas = 288 h × 0.75</w:t>
            </w:r>
          </w:p>
        </w:tc>
        <w:tc>
          <w:tcPr>
            <w:tcW w:type="dxa" w:w="16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216 h</w:t>
            </w:r>
          </w:p>
        </w:tc>
      </w:tr>
      <w:tr>
        <w:tc>
          <w:tcPr>
            <w:tcW w:type="dxa" w:w="2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Costo de mano de obra</w:t>
            </w:r>
          </w:p>
        </w:tc>
        <w:tc>
          <w:tcPr>
            <w:tcW w:type="dxa" w:w="52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Horas totales × tarifa interna: 127.6 h × $250</w:t>
            </w:r>
          </w:p>
        </w:tc>
        <w:tc>
          <w:tcPr>
            <w:tcW w:type="dxa" w:w="16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$31,900.00</w:t>
            </w:r>
          </w:p>
        </w:tc>
      </w:tr>
      <w:tr>
        <w:tc>
          <w:tcPr>
            <w:tcW w:type="dxa" w:w="2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Costos indirectos (7%)</w:t>
            </w:r>
          </w:p>
        </w:tc>
        <w:tc>
          <w:tcPr>
            <w:tcW w:type="dxa" w:w="52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7% × 31,900.00</w:t>
            </w:r>
          </w:p>
        </w:tc>
        <w:tc>
          <w:tcPr>
            <w:tcW w:type="dxa" w:w="16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$2,233.00</w:t>
            </w:r>
          </w:p>
        </w:tc>
      </w:tr>
      <w:tr>
        <w:tc>
          <w:tcPr>
            <w:tcW w:type="dxa" w:w="2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Tecnología</w:t>
            </w:r>
          </w:p>
        </w:tc>
        <w:tc>
          <w:tcPr>
            <w:tcW w:type="dxa" w:w="52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 de pruebas $800 + herramientas de diseño y gestión $700 + respaldos $400 + conectividad y pruebas $600</w:t>
            </w:r>
          </w:p>
        </w:tc>
        <w:tc>
          <w:tcPr>
            <w:tcW w:type="dxa" w:w="16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$2,500.00</w:t>
            </w:r>
          </w:p>
        </w:tc>
      </w:tr>
      <w:tr>
        <w:tc>
          <w:tcPr>
            <w:tcW w:type="dxa" w:w="2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Costo total</w:t>
            </w:r>
          </w:p>
        </w:tc>
        <w:tc>
          <w:tcPr>
            <w:tcW w:type="dxa" w:w="52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31,900.00 + 2,233.00 + 2,500.00</w:t>
            </w:r>
          </w:p>
        </w:tc>
        <w:tc>
          <w:tcPr>
            <w:tcW w:type="dxa" w:w="16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$36,633.00</w:t>
            </w:r>
          </w:p>
        </w:tc>
      </w:tr>
      <w:tr>
        <w:tc>
          <w:tcPr>
            <w:tcW w:type="dxa" w:w="2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Precio con margen (20%)</w:t>
            </w:r>
          </w:p>
        </w:tc>
        <w:tc>
          <w:tcPr>
            <w:tcW w:type="dxa" w:w="52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36,633.00 / (1 − 0.20)</w:t>
            </w:r>
          </w:p>
        </w:tc>
        <w:tc>
          <w:tcPr>
            <w:tcW w:type="dxa" w:w="16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$45,791.25</w:t>
            </w:r>
          </w:p>
        </w:tc>
      </w:tr>
      <w:tr>
        <w:tc>
          <w:tcPr>
            <w:tcW w:type="dxa" w:w="2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Margen</w:t>
            </w:r>
          </w:p>
        </w:tc>
        <w:tc>
          <w:tcPr>
            <w:tcW w:type="dxa" w:w="52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45,791.25 − 36,633.00</w:t>
            </w:r>
          </w:p>
        </w:tc>
        <w:tc>
          <w:tcPr>
            <w:tcW w:type="dxa" w:w="16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$9,158.25</w:t>
            </w:r>
          </w:p>
        </w:tc>
      </w:tr>
      <w:tr>
        <w:tc>
          <w:tcPr>
            <w:tcW w:type="dxa" w:w="2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IVA (16%)</w:t>
            </w:r>
          </w:p>
        </w:tc>
        <w:tc>
          <w:tcPr>
            <w:tcW w:type="dxa" w:w="52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45,791.25 × 0.16</w:t>
            </w:r>
          </w:p>
        </w:tc>
        <w:tc>
          <w:tcPr>
            <w:tcW w:type="dxa" w:w="16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$7,326.60</w:t>
            </w:r>
          </w:p>
        </w:tc>
      </w:tr>
      <w:tr>
        <w:tc>
          <w:tcPr>
            <w:tcW w:type="dxa" w:w="25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con IVA</w:t>
            </w:r>
          </w:p>
        </w:tc>
        <w:tc>
          <w:tcPr>
            <w:tcW w:type="dxa" w:w="520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45,791.25 + 7,326.60</w:t>
            </w:r>
          </w:p>
        </w:tc>
        <w:tc>
          <w:tcPr>
            <w:tcW w:type="dxa" w:w="1660"/>
            <w:tcBorders>
              <w:top w:val="single" w:color="AAB7B8" w:sz="4"/>
              <w:left w:val="single" w:color="AAB7B8" w:sz="4"/>
              <w:bottom w:val="single" w:color="AAB7B8" w:sz="4"/>
              <w:right w:val="single" w:color="AAB7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$53,117.85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88.4 h de capacidad restante cubren reuniones, revisiones del cliente (hasta 3 días hábiles de respuesta) e imprevistos. El dominio y el hosting definitivo corren por cuenta del cliente.</w:t>
      </w:r>
    </w:p>
    <w:p>
      <w:pPr>
        <w:pStyle w:val="Heading1"/>
      </w:pPr>
      <w:r>
        <w:rPr>
          <w:rFonts w:ascii="Arial" w:cs="Arial" w:eastAsia="Arial" w:hAnsi="Arial"/>
        </w:rPr>
        <w:t xml:space="preserve">Cotización formal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Cotización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Datos del proveedor y del cliente: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Proveedor: </w:t>
      </w:r>
      <w:r>
        <w:rPr>
          <w:rFonts w:ascii="Arial" w:cs="Arial" w:eastAsia="Arial" w:hAnsi="Arial"/>
          <w:sz w:val="22"/>
          <w:szCs w:val="22"/>
        </w:rPr>
        <w:t xml:space="preserve">[Vanguard-IA], integrantes: Joan Castro Correa, Víctor Manuel Ramírez Mendoza y Carlos Emilio Valdez Valencia. Contacto: [valdezvalenciac@gmail.com - 5566311032].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Cliente: </w:t>
      </w:r>
      <w:r>
        <w:rPr>
          <w:rFonts w:ascii="Arial" w:cs="Arial" w:eastAsia="Arial" w:hAnsi="Arial"/>
          <w:sz w:val="22"/>
          <w:szCs w:val="22"/>
        </w:rPr>
        <w:t xml:space="preserve">Consultorio dental de la Dra. [nombre]. Texcoco, Estado de México.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Identificación: </w:t>
      </w:r>
      <w:r>
        <w:rPr>
          <w:rFonts w:ascii="Arial" w:cs="Arial" w:eastAsia="Arial" w:hAnsi="Arial"/>
          <w:sz w:val="22"/>
          <w:szCs w:val="22"/>
        </w:rPr>
        <w:t xml:space="preserve">Cotización No. [COT-002-2026] · Fecha: [09/10/2026].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Desarrollo e implementación de un sistema web con landing page para la promoción de los servicios del consultorio y un módulo de gestión de citas administrado por la doctora.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Alcance y entregables: </w:t>
      </w:r>
      <w:r>
        <w:rPr>
          <w:rFonts w:ascii="Arial" w:cs="Arial" w:eastAsia="Arial" w:hAnsi="Arial"/>
          <w:sz w:val="22"/>
          <w:szCs w:val="22"/>
        </w:rPr>
        <w:t xml:space="preserve">Un MVP que contenga los módulos núcleo para la comprobación del sistema: landing page, inicio de sesión único y CRUD de citas.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Duración: </w:t>
      </w:r>
      <w:r>
        <w:rPr>
          <w:rFonts w:ascii="Arial" w:cs="Arial" w:eastAsia="Arial" w:hAnsi="Arial"/>
          <w:sz w:val="22"/>
          <w:szCs w:val="22"/>
        </w:rPr>
        <w:t xml:space="preserve">8 semanas (2 meses) a partir del anticipo y la entrega de la información necesaria: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Semana 1: análisis y diseño, y arranque del proyecto Laravel.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Semanas 2 a 3: autenticación y landing page.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Semanas 4 a 5: CRUD de citas y demostración de validación.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Semanas 6 a 7: estados y validaciones de agenda, alertas, reportes y pulido de UX/UI.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Semana 8: pruebas finales, despliegue y capacitación.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Precio: </w:t>
      </w:r>
      <w:r>
        <w:rPr>
          <w:rFonts w:ascii="Arial" w:cs="Arial" w:eastAsia="Arial" w:hAnsi="Arial"/>
          <w:sz w:val="22"/>
          <w:szCs w:val="22"/>
        </w:rPr>
        <w:t xml:space="preserve">$45,791.25 MXN antes de impuestos (más IVA si aplica: $7,326.60, total $53,117.85).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de pagos: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40% de anticipo al firmar: $18,316.50.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30% al aprobar la demostración del MVP: $13,737.38.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30% a la entrega final y aceptación: $13,737.37.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Vigencia: </w:t>
      </w:r>
      <w:r>
        <w:rPr>
          <w:rFonts w:ascii="Arial" w:cs="Arial" w:eastAsia="Arial" w:hAnsi="Arial"/>
          <w:sz w:val="22"/>
          <w:szCs w:val="22"/>
        </w:rPr>
        <w:t xml:space="preserve">15 días naturales a partir de la fecha de emisión.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Garantía y soporte: </w:t>
      </w:r>
      <w:r>
        <w:rPr>
          <w:rFonts w:ascii="Arial" w:cs="Arial" w:eastAsia="Arial" w:hAnsi="Arial"/>
          <w:sz w:val="22"/>
          <w:szCs w:val="22"/>
        </w:rPr>
        <w:t xml:space="preserve">30 días naturales posteriores a la entrega para corregir errores atribuibles al desarrollo, y soporte básico por correo o WhatsApp en ese periodo. El mantenimiento posterior se cotiza por separado.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Exclusiones y responsabilidades: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cliente proporciona los datos, accesos y cuentas de terceros necesarios (por ejemplo WhatsApp Business y Google Maps), así como textos, logotipo y fotografías para la landing; responde a las revisiones en un máximo de 3 días hábiles y cubre los costos de servicios de terceros (dominio y hosting).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proveedor responde por el cumplimiento del alcance y la confidencialidad de la información.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Gestión de cambios: </w:t>
      </w:r>
      <w:r>
        <w:rPr>
          <w:rFonts w:ascii="Arial" w:cs="Arial" w:eastAsia="Arial" w:hAnsi="Arial"/>
          <w:sz w:val="22"/>
          <w:szCs w:val="22"/>
        </w:rPr>
        <w:t xml:space="preserve">Todo cambio fuera del alcance se solicita por escrito, se evalúa en horas y costo, y solo se ejecuta con aprobación escrita del cliente. Puede modificar el precio y el plazo.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 de negocio posterior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detalle del modelo de negocio posterior se presenta en la Parte 7.</w:t>
      </w:r>
    </w:p>
    <w:p>
      <w:pPr>
        <w:pStyle w:val="Heading1"/>
      </w:pPr>
      <w:r>
        <w:rPr>
          <w:rFonts w:ascii="Arial" w:cs="Arial" w:eastAsia="Arial" w:hAnsi="Arial"/>
        </w:rPr>
        <w:t xml:space="preserve">Parte 7. Cotización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Cotización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Proveedor: </w:t>
      </w:r>
      <w:r>
        <w:rPr>
          <w:rFonts w:ascii="Arial" w:cs="Arial" w:eastAsia="Arial" w:hAnsi="Arial"/>
          <w:sz w:val="22"/>
          <w:szCs w:val="22"/>
        </w:rPr>
        <w:t xml:space="preserve">[Vanguard-IA]. Integrantes: [Castro Correa Joan – Ramírez Mendoza Víctor Manuel – Valdez Valencia Carlos Emilio]. Contacto: [5566311032].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Cliente: </w:t>
      </w:r>
      <w:r>
        <w:rPr>
          <w:rFonts w:ascii="Arial" w:cs="Arial" w:eastAsia="Arial" w:hAnsi="Arial"/>
          <w:sz w:val="22"/>
          <w:szCs w:val="22"/>
        </w:rPr>
        <w:t xml:space="preserve">Consultorio dental de la Dra. [nombre], a su atención. [Texcoco, Estado de México].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Identificación: </w:t>
      </w:r>
      <w:r>
        <w:rPr>
          <w:rFonts w:ascii="Arial" w:cs="Arial" w:eastAsia="Arial" w:hAnsi="Arial"/>
          <w:sz w:val="22"/>
          <w:szCs w:val="22"/>
        </w:rPr>
        <w:t xml:space="preserve">Cotización No. [COT-002-2026] · Fecha: [09/10/2026].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Desarrollo e implementación de un sistema web con landing page de servicios, acceso único para la doctora y control de citas (alta, edición, cambio de estado y baja), con alertas de citas próximas y reportes.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Alcance y entregables: </w:t>
      </w:r>
      <w:r>
        <w:rPr>
          <w:rFonts w:ascii="Arial" w:cs="Arial" w:eastAsia="Arial" w:hAnsi="Arial"/>
          <w:sz w:val="22"/>
          <w:szCs w:val="22"/>
        </w:rPr>
        <w:t xml:space="preserve">Los definidos en el WBS (paquetes 1 a 6) de la Parte 1.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Duración: </w:t>
      </w:r>
      <w:r>
        <w:rPr>
          <w:rFonts w:ascii="Arial" w:cs="Arial" w:eastAsia="Arial" w:hAnsi="Arial"/>
          <w:sz w:val="22"/>
          <w:szCs w:val="22"/>
        </w:rPr>
        <w:t xml:space="preserve">8 semanas (2 meses) a partir del anticipo y la entrega de la información necesaria.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Semana 1: análisis y diseño, y arranque del proyecto Laravel.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Semanas 2 a 3: autenticación y landing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Semanas 4 a 5: CRUD de citas y demostración de validación.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Semanas 6 a 7: estados y validaciones de agenda, alertas, reportes y pulido de UX/UI.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Semana 8: pruebas finales, despliegue y capacitación.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Precio: </w:t>
      </w:r>
      <w:r>
        <w:rPr>
          <w:rFonts w:ascii="Arial" w:cs="Arial" w:eastAsia="Arial" w:hAnsi="Arial"/>
          <w:sz w:val="22"/>
          <w:szCs w:val="22"/>
        </w:rPr>
        <w:t xml:space="preserve">$45,791.25 MXN antes de impuestos (más IVA, si aplica: $7,326.60, total $53,117.85).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de pagos: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40% de anticipo al firmar: $18,316.50.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30% al aprobar la demostración del MVP: $13,737.38.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30% a la entrega final y aceptación: $13,737.37.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Vigencia: </w:t>
      </w:r>
      <w:r>
        <w:rPr>
          <w:rFonts w:ascii="Arial" w:cs="Arial" w:eastAsia="Arial" w:hAnsi="Arial"/>
          <w:sz w:val="22"/>
          <w:szCs w:val="22"/>
        </w:rPr>
        <w:t xml:space="preserve">15 días naturales a partir de la fecha de emisión.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Garantía y soporte: </w:t>
      </w:r>
      <w:r>
        <w:rPr>
          <w:rFonts w:ascii="Arial" w:cs="Arial" w:eastAsia="Arial" w:hAnsi="Arial"/>
          <w:sz w:val="22"/>
          <w:szCs w:val="22"/>
        </w:rPr>
        <w:t xml:space="preserve">30 días naturales posteriores a la entrega para corregir errores atribuibles al desarrollo, con soporte básico por correo o WhatsApp. El mantenimiento posterior se cotiza por separado.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Exclusiones y responsabilidades: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cliente proporciona su agenda actual, listado de servicios, accesos y datos necesarios, y responde a las revisiones en un máximo de 3 días hábiles.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proveedor responde por el cumplimiento del alcance y la confidencialidad de la información, incluidos los datos de los pacientes.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Gestión de cambios: </w:t>
      </w:r>
      <w:r>
        <w:rPr>
          <w:rFonts w:ascii="Arial" w:cs="Arial" w:eastAsia="Arial" w:hAnsi="Arial"/>
          <w:sz w:val="22"/>
          <w:szCs w:val="22"/>
        </w:rPr>
        <w:t xml:space="preserve">Todo cambio fuera del alcance se solicita por escrito, se evalúa en horas y costo, y solo se ejecuta con aprobación escrita del cliente. Puede modificar el precio y el plazo.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 de negocio posterior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 de negocio: </w:t>
      </w:r>
      <w:r>
        <w:rPr>
          <w:rFonts w:ascii="Arial" w:cs="Arial" w:eastAsia="Arial" w:hAnsi="Arial"/>
          <w:sz w:val="22"/>
          <w:szCs w:val="22"/>
        </w:rPr>
        <w:t xml:space="preserve">Producto de software como servicio (SaaS) para consultorios dentales y de salud independientes, basado en el sistema desarrollado para esta doctora, que serviría como caso de referencia.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 de cobro: </w:t>
      </w:r>
      <w:r>
        <w:rPr>
          <w:rFonts w:ascii="Arial" w:cs="Arial" w:eastAsia="Arial" w:hAnsi="Arial"/>
          <w:sz w:val="22"/>
          <w:szCs w:val="22"/>
        </w:rPr>
        <w:t xml:space="preserve">Cuota única de implementación (configuración, carga de datos y capacitación) más mensualidad por consultorio por uso, mantenimiento y soporte. Los montos deben validarse con consultorios potenciales y con el costo real de hosting y soporte. [Montos por definir.]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Elementos incluidos: </w:t>
      </w:r>
      <w:r>
        <w:rPr>
          <w:rFonts w:ascii="Arial" w:cs="Arial" w:eastAsia="Arial" w:hAnsi="Arial"/>
          <w:sz w:val="22"/>
          <w:szCs w:val="22"/>
        </w:rPr>
        <w:t xml:space="preserve">Landing page personalizable, sistema web de gestión de citas, alertas y reportes, hosting, respaldos, actualizaciones, soporte técnico y capacitación inicial.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Propiedad del producto y de los datos: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proveedor conserva la propiedad del producto base, su código y sus mejoras, y otorga al cliente una licencia de uso no exclusiva mientras exista la suscripción.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cliente conserva la propiedad y el control de sus datos, con derecho a exportarlos en un formato abierto. Los datos de cada consultorio se mantienen separados y no se comparten.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6E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A3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2026-10-09T21:51:31.355Z</dcterms:created>
  <dcterms:modified xsi:type="dcterms:W3CDTF">2026-10-09T21:51:31.355Z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